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lang w:eastAsia="zh-CN"/>
        </w:rPr>
      </w:pPr>
      <w:r>
        <w:rPr>
          <w:rFonts w:hint="eastAsia"/>
          <w:b/>
          <w:bCs/>
          <w:sz w:val="28"/>
          <w:szCs w:val="36"/>
          <w:lang w:eastAsia="zh-CN"/>
        </w:rPr>
        <w:t>企业税务信息</w:t>
      </w:r>
    </w:p>
    <w:p>
      <w:pPr>
        <w:jc w:val="both"/>
        <w:rPr>
          <w:rFonts w:hint="eastAsia"/>
          <w:b/>
          <w:bCs/>
          <w:sz w:val="28"/>
          <w:szCs w:val="36"/>
          <w:lang w:eastAsia="zh-CN"/>
        </w:rPr>
      </w:pPr>
      <w:r>
        <w:rPr>
          <w:rFonts w:hint="eastAsia"/>
          <w:b/>
          <w:bCs/>
          <w:sz w:val="28"/>
          <w:szCs w:val="36"/>
          <w:lang w:eastAsia="zh-CN"/>
        </w:rPr>
        <w:drawing>
          <wp:anchor distT="0" distB="0" distL="114300" distR="114300" simplePos="0" relativeHeight="251659264" behindDoc="0" locked="0" layoutInCell="1" allowOverlap="1">
            <wp:simplePos x="0" y="0"/>
            <wp:positionH relativeFrom="column">
              <wp:posOffset>-412750</wp:posOffset>
            </wp:positionH>
            <wp:positionV relativeFrom="paragraph">
              <wp:posOffset>778510</wp:posOffset>
            </wp:positionV>
            <wp:extent cx="6151880" cy="2870200"/>
            <wp:effectExtent l="0" t="0" r="1270" b="6350"/>
            <wp:wrapSquare wrapText="bothSides"/>
            <wp:docPr id="1" name="图片 1" descr="C:\Users\Administrator\Desktop\123.png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23.png123"/>
                    <pic:cNvPicPr>
                      <a:picLocks noChangeAspect="1"/>
                    </pic:cNvPicPr>
                  </pic:nvPicPr>
                  <pic:blipFill>
                    <a:blip r:embed="rId4"/>
                    <a:srcRect/>
                    <a:stretch>
                      <a:fillRect/>
                    </a:stretch>
                  </pic:blipFill>
                  <pic:spPr>
                    <a:xfrm>
                      <a:off x="0" y="0"/>
                      <a:ext cx="6151880" cy="2870200"/>
                    </a:xfrm>
                    <a:prstGeom prst="rect">
                      <a:avLst/>
                    </a:prstGeom>
                  </pic:spPr>
                </pic:pic>
              </a:graphicData>
            </a:graphic>
          </wp:anchor>
        </w:drawing>
      </w: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autoSpaceDE w:val="0"/>
        <w:jc w:val="center"/>
        <w:outlineLvl w:val="0"/>
        <w:rPr>
          <w:rFonts w:hint="eastAsia" w:ascii="宋体" w:hAnsi="宋体" w:eastAsia="宋体" w:cs="宋体"/>
          <w:b/>
          <w:bCs/>
          <w:color w:val="auto"/>
          <w:sz w:val="28"/>
          <w:szCs w:val="28"/>
          <w:lang w:val="zh-CN"/>
        </w:rPr>
      </w:pPr>
      <w:r>
        <w:rPr>
          <w:rFonts w:hint="eastAsia" w:ascii="宋体" w:hAnsi="宋体" w:eastAsia="宋体" w:cs="宋体"/>
          <w:b/>
          <w:bCs/>
          <w:color w:val="auto"/>
          <w:sz w:val="28"/>
          <w:szCs w:val="28"/>
          <w:lang w:val="zh-CN"/>
        </w:rPr>
        <w:t>合同管理人员明细表</w:t>
      </w:r>
    </w:p>
    <w:tbl>
      <w:tblPr>
        <w:tblStyle w:val="4"/>
        <w:tblpPr w:leftFromText="180" w:rightFromText="180" w:vertAnchor="text" w:horzAnchor="page" w:tblpXSpec="center" w:tblpY="299"/>
        <w:tblOverlap w:val="never"/>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515"/>
        <w:gridCol w:w="1095"/>
        <w:gridCol w:w="1155"/>
        <w:gridCol w:w="1945"/>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2" w:type="dxa"/>
            <w:noWrap w:val="0"/>
            <w:vAlign w:val="center"/>
          </w:tcPr>
          <w:p>
            <w:pPr>
              <w:spacing w:line="400" w:lineRule="exact"/>
              <w:jc w:val="center"/>
              <w:rPr>
                <w:rFonts w:ascii="宋体" w:hAnsi="宋体"/>
                <w:color w:val="000000"/>
                <w:sz w:val="24"/>
                <w:szCs w:val="24"/>
              </w:rPr>
            </w:pPr>
            <w:r>
              <w:rPr>
                <w:rFonts w:hint="eastAsia" w:ascii="宋体" w:hAnsi="宋体"/>
                <w:color w:val="000000"/>
                <w:sz w:val="24"/>
                <w:szCs w:val="24"/>
              </w:rPr>
              <w:t>序号</w:t>
            </w:r>
          </w:p>
        </w:tc>
        <w:tc>
          <w:tcPr>
            <w:tcW w:w="1515" w:type="dxa"/>
            <w:noWrap w:val="0"/>
            <w:vAlign w:val="center"/>
          </w:tcPr>
          <w:p>
            <w:pPr>
              <w:spacing w:line="400" w:lineRule="exact"/>
              <w:jc w:val="center"/>
              <w:rPr>
                <w:rFonts w:ascii="宋体" w:hAnsi="宋体"/>
                <w:color w:val="000000"/>
                <w:sz w:val="24"/>
                <w:szCs w:val="24"/>
              </w:rPr>
            </w:pPr>
            <w:r>
              <w:rPr>
                <w:rFonts w:hint="eastAsia" w:ascii="宋体" w:hAnsi="宋体"/>
                <w:color w:val="000000"/>
                <w:sz w:val="24"/>
                <w:szCs w:val="24"/>
              </w:rPr>
              <w:t>姓名</w:t>
            </w:r>
          </w:p>
        </w:tc>
        <w:tc>
          <w:tcPr>
            <w:tcW w:w="1095" w:type="dxa"/>
            <w:noWrap w:val="0"/>
            <w:vAlign w:val="center"/>
          </w:tcPr>
          <w:p>
            <w:pPr>
              <w:spacing w:line="400" w:lineRule="exact"/>
              <w:jc w:val="center"/>
              <w:rPr>
                <w:rFonts w:ascii="宋体" w:hAnsi="宋体"/>
                <w:color w:val="000000"/>
                <w:sz w:val="24"/>
                <w:szCs w:val="24"/>
              </w:rPr>
            </w:pPr>
            <w:r>
              <w:rPr>
                <w:rFonts w:hint="eastAsia" w:ascii="宋体" w:hAnsi="宋体"/>
                <w:color w:val="000000"/>
                <w:sz w:val="24"/>
                <w:szCs w:val="24"/>
              </w:rPr>
              <w:t>性别</w:t>
            </w:r>
          </w:p>
        </w:tc>
        <w:tc>
          <w:tcPr>
            <w:tcW w:w="1155" w:type="dxa"/>
            <w:noWrap w:val="0"/>
            <w:vAlign w:val="center"/>
          </w:tcPr>
          <w:p>
            <w:pPr>
              <w:spacing w:line="400" w:lineRule="exact"/>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学历</w:t>
            </w:r>
          </w:p>
        </w:tc>
        <w:tc>
          <w:tcPr>
            <w:tcW w:w="1945" w:type="dxa"/>
            <w:noWrap w:val="0"/>
            <w:vAlign w:val="center"/>
          </w:tcPr>
          <w:p>
            <w:pPr>
              <w:spacing w:line="400" w:lineRule="exact"/>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职称</w:t>
            </w:r>
          </w:p>
        </w:tc>
        <w:tc>
          <w:tcPr>
            <w:tcW w:w="1830" w:type="dxa"/>
            <w:noWrap w:val="0"/>
            <w:vAlign w:val="center"/>
          </w:tcPr>
          <w:p>
            <w:pPr>
              <w:spacing w:line="400" w:lineRule="exact"/>
              <w:jc w:val="center"/>
              <w:rPr>
                <w:rFonts w:hint="eastAsia" w:ascii="宋体" w:hAnsi="宋体"/>
                <w:color w:val="000000"/>
                <w:sz w:val="24"/>
                <w:szCs w:val="24"/>
                <w:lang w:eastAsia="zh-CN"/>
              </w:rPr>
            </w:pPr>
            <w:r>
              <w:rPr>
                <w:rFonts w:hint="eastAsia" w:ascii="宋体" w:hAnsi="宋体"/>
                <w:color w:val="000000"/>
                <w:sz w:val="24"/>
                <w:szCs w:val="24"/>
                <w:lang w:eastAsia="zh-CN"/>
              </w:rPr>
              <w:t>合同管理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2" w:type="dxa"/>
            <w:noWrap w:val="0"/>
            <w:vAlign w:val="center"/>
          </w:tcPr>
          <w:p>
            <w:pPr>
              <w:jc w:val="center"/>
              <w:rPr>
                <w:rFonts w:ascii="宋体" w:hAnsi="宋体"/>
                <w:color w:val="000000"/>
                <w:sz w:val="24"/>
                <w:szCs w:val="24"/>
              </w:rPr>
            </w:pPr>
            <w:r>
              <w:rPr>
                <w:rFonts w:hint="eastAsia" w:ascii="宋体" w:hAnsi="宋体"/>
                <w:color w:val="000000"/>
                <w:sz w:val="24"/>
                <w:szCs w:val="24"/>
              </w:rPr>
              <w:t>1</w:t>
            </w:r>
          </w:p>
        </w:tc>
        <w:tc>
          <w:tcPr>
            <w:tcW w:w="1515" w:type="dxa"/>
            <w:noWrap w:val="0"/>
            <w:vAlign w:val="center"/>
          </w:tcPr>
          <w:p>
            <w:pPr>
              <w:jc w:val="center"/>
              <w:rPr>
                <w:rFonts w:ascii="宋体" w:hAnsi="宋体"/>
                <w:color w:val="000000"/>
                <w:sz w:val="24"/>
                <w:szCs w:val="24"/>
              </w:rPr>
            </w:pPr>
            <w:r>
              <w:rPr>
                <w:rFonts w:hint="eastAsia" w:ascii="宋体" w:hAnsi="宋体"/>
                <w:color w:val="000000"/>
                <w:sz w:val="24"/>
                <w:szCs w:val="24"/>
              </w:rPr>
              <w:t>赵艺</w:t>
            </w:r>
          </w:p>
        </w:tc>
        <w:tc>
          <w:tcPr>
            <w:tcW w:w="1095" w:type="dxa"/>
            <w:noWrap w:val="0"/>
            <w:vAlign w:val="center"/>
          </w:tcPr>
          <w:p>
            <w:pPr>
              <w:jc w:val="center"/>
              <w:rPr>
                <w:rFonts w:ascii="宋体" w:hAnsi="宋体"/>
                <w:color w:val="000000"/>
                <w:sz w:val="24"/>
                <w:szCs w:val="24"/>
              </w:rPr>
            </w:pPr>
            <w:r>
              <w:rPr>
                <w:rFonts w:hint="eastAsia" w:ascii="宋体" w:hAnsi="宋体"/>
                <w:color w:val="000000"/>
                <w:sz w:val="24"/>
                <w:szCs w:val="24"/>
              </w:rPr>
              <w:t>男</w:t>
            </w:r>
          </w:p>
        </w:tc>
        <w:tc>
          <w:tcPr>
            <w:tcW w:w="1155" w:type="dxa"/>
            <w:noWrap w:val="0"/>
            <w:vAlign w:val="center"/>
          </w:tcPr>
          <w:p>
            <w:pPr>
              <w:jc w:val="center"/>
              <w:rPr>
                <w:rFonts w:ascii="宋体" w:hAnsi="宋体"/>
                <w:color w:val="000000"/>
                <w:sz w:val="24"/>
                <w:szCs w:val="24"/>
              </w:rPr>
            </w:pPr>
            <w:r>
              <w:rPr>
                <w:rFonts w:hint="eastAsia" w:ascii="宋体" w:hAnsi="宋体"/>
                <w:color w:val="000000"/>
                <w:sz w:val="24"/>
                <w:szCs w:val="24"/>
              </w:rPr>
              <w:t>本科</w:t>
            </w:r>
          </w:p>
        </w:tc>
        <w:tc>
          <w:tcPr>
            <w:tcW w:w="1945" w:type="dxa"/>
            <w:noWrap w:val="0"/>
            <w:vAlign w:val="center"/>
          </w:tcPr>
          <w:p>
            <w:pPr>
              <w:jc w:val="center"/>
              <w:rPr>
                <w:rFonts w:ascii="宋体" w:hAnsi="宋体"/>
                <w:color w:val="000000"/>
                <w:sz w:val="24"/>
                <w:szCs w:val="24"/>
              </w:rPr>
            </w:pPr>
            <w:r>
              <w:rPr>
                <w:rFonts w:hint="eastAsia" w:ascii="宋体" w:hAnsi="宋体"/>
                <w:color w:val="000000"/>
                <w:sz w:val="24"/>
                <w:szCs w:val="24"/>
              </w:rPr>
              <w:t>拍卖师</w:t>
            </w:r>
          </w:p>
        </w:tc>
        <w:tc>
          <w:tcPr>
            <w:tcW w:w="1830" w:type="dxa"/>
            <w:noWrap w:val="0"/>
            <w:vAlign w:val="center"/>
          </w:tcPr>
          <w:p>
            <w:pPr>
              <w:jc w:val="center"/>
              <w:rPr>
                <w:rFonts w:hint="eastAsia" w:ascii="宋体" w:hAnsi="宋体" w:eastAsiaTheme="minorEastAsia"/>
                <w:color w:val="000000"/>
                <w:sz w:val="24"/>
                <w:szCs w:val="24"/>
                <w:lang w:eastAsia="zh-CN"/>
              </w:rPr>
            </w:pPr>
            <w:r>
              <w:rPr>
                <w:rFonts w:hint="eastAsia" w:ascii="宋体" w:hAnsi="宋体"/>
                <w:color w:val="000000"/>
                <w:sz w:val="24"/>
                <w:szCs w:val="24"/>
                <w:lang w:eastAsia="zh-CN"/>
              </w:rPr>
              <w:t>专职管理员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2" w:type="dxa"/>
            <w:noWrap w:val="0"/>
            <w:vAlign w:val="center"/>
          </w:tcPr>
          <w:p>
            <w:pPr>
              <w:jc w:val="center"/>
              <w:rPr>
                <w:rFonts w:hint="eastAsia" w:ascii="宋体" w:hAnsi="宋体" w:eastAsiaTheme="minorEastAsia"/>
                <w:color w:val="000000"/>
                <w:sz w:val="24"/>
                <w:szCs w:val="24"/>
                <w:lang w:val="en-US" w:eastAsia="zh-CN"/>
              </w:rPr>
            </w:pPr>
            <w:r>
              <w:rPr>
                <w:rFonts w:hint="eastAsia" w:ascii="宋体" w:hAnsi="宋体"/>
                <w:color w:val="000000"/>
                <w:sz w:val="24"/>
                <w:szCs w:val="24"/>
                <w:lang w:val="en-US" w:eastAsia="zh-CN"/>
              </w:rPr>
              <w:t>2</w:t>
            </w:r>
          </w:p>
        </w:tc>
        <w:tc>
          <w:tcPr>
            <w:tcW w:w="1515" w:type="dxa"/>
            <w:noWrap w:val="0"/>
            <w:vAlign w:val="center"/>
          </w:tcPr>
          <w:p>
            <w:pPr>
              <w:jc w:val="center"/>
              <w:rPr>
                <w:rFonts w:ascii="宋体" w:hAnsi="宋体"/>
                <w:color w:val="000000"/>
                <w:sz w:val="24"/>
                <w:szCs w:val="24"/>
              </w:rPr>
            </w:pPr>
            <w:r>
              <w:rPr>
                <w:rFonts w:hint="eastAsia" w:ascii="宋体" w:hAnsi="宋体" w:eastAsia="宋体"/>
                <w:color w:val="000000"/>
                <w:sz w:val="24"/>
                <w:szCs w:val="24"/>
                <w:lang w:eastAsia="zh-CN"/>
              </w:rPr>
              <w:t>向燕舞</w:t>
            </w:r>
          </w:p>
        </w:tc>
        <w:tc>
          <w:tcPr>
            <w:tcW w:w="1095" w:type="dxa"/>
            <w:noWrap w:val="0"/>
            <w:vAlign w:val="center"/>
          </w:tcPr>
          <w:p>
            <w:pPr>
              <w:jc w:val="center"/>
              <w:rPr>
                <w:rFonts w:ascii="宋体" w:hAnsi="宋体"/>
                <w:color w:val="000000"/>
                <w:sz w:val="24"/>
                <w:szCs w:val="24"/>
              </w:rPr>
            </w:pPr>
            <w:r>
              <w:rPr>
                <w:rFonts w:hint="eastAsia" w:ascii="宋体" w:hAnsi="宋体"/>
                <w:color w:val="000000"/>
                <w:sz w:val="24"/>
                <w:szCs w:val="24"/>
              </w:rPr>
              <w:t>女</w:t>
            </w:r>
          </w:p>
        </w:tc>
        <w:tc>
          <w:tcPr>
            <w:tcW w:w="1155" w:type="dxa"/>
            <w:noWrap w:val="0"/>
            <w:vAlign w:val="center"/>
          </w:tcPr>
          <w:p>
            <w:pPr>
              <w:jc w:val="center"/>
              <w:rPr>
                <w:rFonts w:ascii="宋体" w:hAnsi="宋体"/>
                <w:color w:val="000000"/>
                <w:sz w:val="24"/>
                <w:szCs w:val="24"/>
              </w:rPr>
            </w:pPr>
            <w:r>
              <w:rPr>
                <w:rFonts w:hint="eastAsia" w:ascii="宋体" w:hAnsi="宋体" w:eastAsia="宋体"/>
                <w:color w:val="000000"/>
                <w:sz w:val="24"/>
                <w:szCs w:val="24"/>
                <w:lang w:eastAsia="zh-CN"/>
              </w:rPr>
              <w:t>大专</w:t>
            </w:r>
          </w:p>
        </w:tc>
        <w:tc>
          <w:tcPr>
            <w:tcW w:w="1945" w:type="dxa"/>
            <w:noWrap w:val="0"/>
            <w:vAlign w:val="center"/>
          </w:tcPr>
          <w:p>
            <w:pPr>
              <w:jc w:val="center"/>
              <w:rPr>
                <w:rFonts w:ascii="宋体" w:hAnsi="宋体"/>
                <w:color w:val="000000"/>
                <w:sz w:val="24"/>
                <w:szCs w:val="24"/>
              </w:rPr>
            </w:pPr>
            <w:r>
              <w:rPr>
                <w:rFonts w:hint="eastAsia" w:ascii="宋体" w:hAnsi="宋体" w:eastAsia="宋体"/>
                <w:color w:val="000000"/>
                <w:sz w:val="24"/>
                <w:szCs w:val="24"/>
                <w:lang w:eastAsia="zh-CN"/>
              </w:rPr>
              <w:t>会计证</w:t>
            </w:r>
          </w:p>
        </w:tc>
        <w:tc>
          <w:tcPr>
            <w:tcW w:w="1830" w:type="dxa"/>
            <w:noWrap w:val="0"/>
            <w:vAlign w:val="center"/>
          </w:tcPr>
          <w:p>
            <w:pPr>
              <w:jc w:val="center"/>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兼职管理员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2" w:type="dxa"/>
            <w:noWrap w:val="0"/>
            <w:vAlign w:val="center"/>
          </w:tcPr>
          <w:p>
            <w:pPr>
              <w:jc w:val="center"/>
              <w:rPr>
                <w:rFonts w:hint="eastAsia" w:ascii="宋体" w:hAnsi="宋体" w:eastAsiaTheme="minorEastAsia"/>
                <w:color w:val="000000"/>
                <w:sz w:val="24"/>
                <w:szCs w:val="24"/>
                <w:lang w:val="en-US" w:eastAsia="zh-CN"/>
              </w:rPr>
            </w:pPr>
            <w:r>
              <w:rPr>
                <w:rFonts w:hint="eastAsia" w:ascii="宋体" w:hAnsi="宋体"/>
                <w:color w:val="000000"/>
                <w:sz w:val="24"/>
                <w:szCs w:val="24"/>
                <w:lang w:val="en-US" w:eastAsia="zh-CN"/>
              </w:rPr>
              <w:t>3</w:t>
            </w:r>
          </w:p>
        </w:tc>
        <w:tc>
          <w:tcPr>
            <w:tcW w:w="1515" w:type="dxa"/>
            <w:noWrap w:val="0"/>
            <w:vAlign w:val="center"/>
          </w:tcPr>
          <w:p>
            <w:pPr>
              <w:jc w:val="center"/>
              <w:rPr>
                <w:rFonts w:ascii="宋体" w:hAnsi="宋体"/>
                <w:color w:val="000000"/>
                <w:sz w:val="24"/>
                <w:szCs w:val="24"/>
              </w:rPr>
            </w:pPr>
            <w:r>
              <w:rPr>
                <w:rFonts w:hint="eastAsia" w:ascii="宋体" w:hAnsi="宋体"/>
                <w:color w:val="000000"/>
                <w:sz w:val="24"/>
                <w:szCs w:val="24"/>
              </w:rPr>
              <w:t>向珂珂</w:t>
            </w:r>
          </w:p>
        </w:tc>
        <w:tc>
          <w:tcPr>
            <w:tcW w:w="1095" w:type="dxa"/>
            <w:noWrap w:val="0"/>
            <w:vAlign w:val="center"/>
          </w:tcPr>
          <w:p>
            <w:pPr>
              <w:jc w:val="center"/>
              <w:rPr>
                <w:rFonts w:ascii="宋体" w:hAnsi="宋体"/>
                <w:color w:val="000000"/>
                <w:sz w:val="24"/>
                <w:szCs w:val="24"/>
              </w:rPr>
            </w:pPr>
            <w:r>
              <w:rPr>
                <w:rFonts w:hint="eastAsia" w:ascii="宋体" w:hAnsi="宋体"/>
                <w:color w:val="000000"/>
                <w:sz w:val="24"/>
                <w:szCs w:val="24"/>
              </w:rPr>
              <w:t>男</w:t>
            </w:r>
          </w:p>
        </w:tc>
        <w:tc>
          <w:tcPr>
            <w:tcW w:w="1155" w:type="dxa"/>
            <w:noWrap w:val="0"/>
            <w:vAlign w:val="center"/>
          </w:tcPr>
          <w:p>
            <w:pPr>
              <w:jc w:val="center"/>
              <w:rPr>
                <w:rFonts w:ascii="宋体" w:hAnsi="宋体"/>
                <w:color w:val="000000"/>
                <w:sz w:val="24"/>
                <w:szCs w:val="24"/>
              </w:rPr>
            </w:pPr>
            <w:r>
              <w:rPr>
                <w:rFonts w:hint="eastAsia" w:ascii="宋体" w:hAnsi="宋体"/>
                <w:color w:val="000000"/>
                <w:sz w:val="24"/>
                <w:szCs w:val="24"/>
              </w:rPr>
              <w:t>大专</w:t>
            </w:r>
          </w:p>
        </w:tc>
        <w:tc>
          <w:tcPr>
            <w:tcW w:w="1945" w:type="dxa"/>
            <w:noWrap w:val="0"/>
            <w:vAlign w:val="center"/>
          </w:tcPr>
          <w:p>
            <w:pPr>
              <w:jc w:val="center"/>
              <w:rPr>
                <w:rFonts w:ascii="宋体" w:hAnsi="宋体"/>
                <w:color w:val="000000"/>
                <w:sz w:val="24"/>
                <w:szCs w:val="24"/>
              </w:rPr>
            </w:pPr>
            <w:r>
              <w:rPr>
                <w:rFonts w:hint="eastAsia" w:ascii="宋体" w:hAnsi="宋体"/>
                <w:color w:val="000000"/>
                <w:sz w:val="24"/>
                <w:szCs w:val="24"/>
              </w:rPr>
              <w:t>拍卖从业资格证</w:t>
            </w:r>
          </w:p>
        </w:tc>
        <w:tc>
          <w:tcPr>
            <w:tcW w:w="1830" w:type="dxa"/>
            <w:noWrap w:val="0"/>
            <w:vAlign w:val="center"/>
          </w:tcPr>
          <w:p>
            <w:pPr>
              <w:jc w:val="center"/>
              <w:rPr>
                <w:rFonts w:hint="eastAsia" w:ascii="宋体" w:hAnsi="宋体"/>
                <w:color w:val="000000"/>
                <w:sz w:val="24"/>
                <w:szCs w:val="24"/>
              </w:rPr>
            </w:pPr>
            <w:r>
              <w:rPr>
                <w:rFonts w:hint="eastAsia" w:ascii="宋体" w:hAnsi="宋体" w:eastAsia="宋体"/>
                <w:color w:val="000000"/>
                <w:sz w:val="24"/>
                <w:szCs w:val="24"/>
                <w:lang w:eastAsia="zh-CN"/>
              </w:rPr>
              <w:t>兼职管理员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2" w:type="dxa"/>
            <w:noWrap w:val="0"/>
            <w:vAlign w:val="center"/>
          </w:tcPr>
          <w:p>
            <w:pPr>
              <w:jc w:val="center"/>
              <w:rPr>
                <w:rFonts w:hint="eastAsia" w:ascii="宋体" w:hAnsi="宋体" w:eastAsiaTheme="minorEastAsia"/>
                <w:color w:val="000000"/>
                <w:sz w:val="24"/>
                <w:szCs w:val="24"/>
                <w:lang w:val="en-US" w:eastAsia="zh-CN"/>
              </w:rPr>
            </w:pPr>
            <w:r>
              <w:rPr>
                <w:rFonts w:hint="eastAsia" w:ascii="宋体" w:hAnsi="宋体"/>
                <w:color w:val="000000"/>
                <w:sz w:val="24"/>
                <w:szCs w:val="24"/>
                <w:lang w:val="en-US" w:eastAsia="zh-CN"/>
              </w:rPr>
              <w:t>4</w:t>
            </w:r>
          </w:p>
        </w:tc>
        <w:tc>
          <w:tcPr>
            <w:tcW w:w="1515" w:type="dxa"/>
            <w:noWrap w:val="0"/>
            <w:vAlign w:val="center"/>
          </w:tcPr>
          <w:p>
            <w:pPr>
              <w:jc w:val="center"/>
              <w:rPr>
                <w:rFonts w:ascii="宋体" w:hAnsi="宋体"/>
                <w:color w:val="000000"/>
                <w:sz w:val="24"/>
                <w:szCs w:val="24"/>
              </w:rPr>
            </w:pPr>
            <w:r>
              <w:rPr>
                <w:rFonts w:hint="eastAsia" w:ascii="宋体" w:hAnsi="宋体"/>
                <w:color w:val="000000"/>
                <w:sz w:val="24"/>
                <w:szCs w:val="24"/>
              </w:rPr>
              <w:t>罗传建</w:t>
            </w:r>
          </w:p>
        </w:tc>
        <w:tc>
          <w:tcPr>
            <w:tcW w:w="1095" w:type="dxa"/>
            <w:noWrap w:val="0"/>
            <w:vAlign w:val="center"/>
          </w:tcPr>
          <w:p>
            <w:pPr>
              <w:jc w:val="center"/>
              <w:rPr>
                <w:rFonts w:ascii="宋体" w:hAnsi="宋体"/>
                <w:color w:val="000000"/>
                <w:sz w:val="24"/>
                <w:szCs w:val="24"/>
              </w:rPr>
            </w:pPr>
            <w:r>
              <w:rPr>
                <w:rFonts w:hint="eastAsia" w:ascii="宋体" w:hAnsi="宋体"/>
                <w:color w:val="000000"/>
                <w:sz w:val="24"/>
                <w:szCs w:val="24"/>
              </w:rPr>
              <w:t>男</w:t>
            </w:r>
          </w:p>
        </w:tc>
        <w:tc>
          <w:tcPr>
            <w:tcW w:w="1155" w:type="dxa"/>
            <w:noWrap w:val="0"/>
            <w:vAlign w:val="center"/>
          </w:tcPr>
          <w:p>
            <w:pPr>
              <w:jc w:val="center"/>
              <w:rPr>
                <w:rFonts w:ascii="宋体" w:hAnsi="宋体"/>
                <w:color w:val="000000"/>
                <w:sz w:val="24"/>
                <w:szCs w:val="24"/>
              </w:rPr>
            </w:pPr>
            <w:r>
              <w:rPr>
                <w:rFonts w:hint="eastAsia" w:ascii="宋体" w:hAnsi="宋体"/>
                <w:color w:val="000000"/>
                <w:sz w:val="24"/>
                <w:szCs w:val="24"/>
              </w:rPr>
              <w:t>高中</w:t>
            </w:r>
          </w:p>
        </w:tc>
        <w:tc>
          <w:tcPr>
            <w:tcW w:w="1945" w:type="dxa"/>
            <w:noWrap w:val="0"/>
            <w:vAlign w:val="center"/>
          </w:tcPr>
          <w:p>
            <w:pPr>
              <w:jc w:val="center"/>
              <w:rPr>
                <w:rFonts w:ascii="宋体" w:hAnsi="宋体"/>
                <w:color w:val="000000"/>
                <w:sz w:val="24"/>
                <w:szCs w:val="24"/>
              </w:rPr>
            </w:pPr>
            <w:r>
              <w:rPr>
                <w:rFonts w:hint="eastAsia" w:ascii="宋体" w:hAnsi="宋体"/>
                <w:color w:val="000000"/>
                <w:sz w:val="24"/>
                <w:szCs w:val="24"/>
              </w:rPr>
              <w:t>拍卖从业资格证</w:t>
            </w:r>
          </w:p>
        </w:tc>
        <w:tc>
          <w:tcPr>
            <w:tcW w:w="1830" w:type="dxa"/>
            <w:noWrap w:val="0"/>
            <w:vAlign w:val="center"/>
          </w:tcPr>
          <w:p>
            <w:pPr>
              <w:jc w:val="center"/>
              <w:rPr>
                <w:rFonts w:hint="eastAsia" w:ascii="宋体" w:hAnsi="宋体"/>
                <w:color w:val="000000"/>
                <w:sz w:val="24"/>
                <w:szCs w:val="24"/>
              </w:rPr>
            </w:pPr>
            <w:r>
              <w:rPr>
                <w:rFonts w:hint="eastAsia" w:ascii="宋体" w:hAnsi="宋体" w:eastAsia="宋体"/>
                <w:color w:val="000000"/>
                <w:sz w:val="24"/>
                <w:szCs w:val="24"/>
                <w:lang w:eastAsia="zh-CN"/>
              </w:rPr>
              <w:t>兼职管理员</w:t>
            </w:r>
          </w:p>
        </w:tc>
      </w:tr>
    </w:tbl>
    <w:p>
      <w:pPr>
        <w:spacing w:line="400" w:lineRule="exact"/>
        <w:jc w:val="left"/>
        <w:rPr>
          <w:rFonts w:hint="eastAsia" w:ascii="宋体" w:hAnsi="宋体"/>
          <w:color w:val="auto"/>
          <w:sz w:val="24"/>
          <w:lang w:val="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p>
    <w:p>
      <w:pPr>
        <w:jc w:val="both"/>
        <w:rPr>
          <w:rFonts w:hint="eastAsia"/>
          <w:b/>
          <w:bCs/>
          <w:sz w:val="28"/>
          <w:szCs w:val="36"/>
          <w:lang w:eastAsia="zh-CN"/>
        </w:rPr>
      </w:pPr>
      <w:bookmarkStart w:id="0" w:name="_GoBack"/>
      <w:bookmarkEnd w:id="0"/>
    </w:p>
    <w:p>
      <w:pPr>
        <w:jc w:val="both"/>
        <w:rPr>
          <w:rFonts w:hint="eastAsia"/>
          <w:b/>
          <w:bCs/>
          <w:sz w:val="28"/>
          <w:szCs w:val="36"/>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3" w:firstLineChars="200"/>
        <w:jc w:val="center"/>
        <w:textAlignment w:val="auto"/>
        <w:rPr>
          <w:rFonts w:hint="eastAsia" w:ascii="Times New Roman" w:hAnsi="Times New Roman" w:eastAsia="仿宋" w:cs="仿宋"/>
          <w:b/>
          <w:bCs/>
          <w:i w:val="0"/>
          <w:caps w:val="0"/>
          <w:color w:val="191919"/>
          <w:spacing w:val="0"/>
          <w:sz w:val="32"/>
          <w:szCs w:val="32"/>
        </w:rPr>
      </w:pPr>
      <w:r>
        <w:rPr>
          <w:rFonts w:hint="eastAsia" w:ascii="Times New Roman" w:hAnsi="Times New Roman" w:eastAsia="仿宋" w:cs="仿宋"/>
          <w:b/>
          <w:bCs/>
          <w:i w:val="0"/>
          <w:caps w:val="0"/>
          <w:color w:val="191919"/>
          <w:spacing w:val="0"/>
          <w:sz w:val="32"/>
          <w:szCs w:val="32"/>
          <w:shd w:val="clear" w:fill="FFFFFF"/>
          <w:lang w:eastAsia="zh-CN"/>
        </w:rPr>
        <w:t>企业信用（</w:t>
      </w:r>
      <w:r>
        <w:rPr>
          <w:rFonts w:hint="eastAsia" w:ascii="Times New Roman" w:hAnsi="Times New Roman" w:eastAsia="仿宋" w:cs="仿宋"/>
          <w:b/>
          <w:bCs/>
          <w:i w:val="0"/>
          <w:caps w:val="0"/>
          <w:color w:val="191919"/>
          <w:spacing w:val="0"/>
          <w:sz w:val="32"/>
          <w:szCs w:val="32"/>
          <w:shd w:val="clear" w:fill="FFFFFF"/>
        </w:rPr>
        <w:t>合同</w:t>
      </w:r>
      <w:r>
        <w:rPr>
          <w:rFonts w:hint="eastAsia" w:ascii="Times New Roman" w:hAnsi="Times New Roman" w:eastAsia="仿宋" w:cs="仿宋"/>
          <w:b/>
          <w:bCs/>
          <w:i w:val="0"/>
          <w:caps w:val="0"/>
          <w:color w:val="191919"/>
          <w:spacing w:val="0"/>
          <w:sz w:val="32"/>
          <w:szCs w:val="32"/>
          <w:shd w:val="clear" w:fill="FFFFFF"/>
          <w:lang w:eastAsia="zh-CN"/>
        </w:rPr>
        <w:t>）</w:t>
      </w:r>
      <w:r>
        <w:rPr>
          <w:rFonts w:hint="eastAsia" w:ascii="Times New Roman" w:hAnsi="Times New Roman" w:eastAsia="仿宋" w:cs="仿宋"/>
          <w:b/>
          <w:bCs/>
          <w:i w:val="0"/>
          <w:caps w:val="0"/>
          <w:color w:val="191919"/>
          <w:spacing w:val="0"/>
          <w:sz w:val="32"/>
          <w:szCs w:val="32"/>
          <w:shd w:val="clear" w:fill="FFFFFF"/>
        </w:rPr>
        <w:t>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3" w:firstLineChars="200"/>
        <w:jc w:val="left"/>
        <w:textAlignment w:val="auto"/>
        <w:rPr>
          <w:rFonts w:hint="eastAsia" w:ascii="Times New Roman" w:hAnsi="Times New Roman" w:eastAsia="仿宋" w:cs="仿宋"/>
          <w:b/>
          <w:bCs/>
          <w:i w:val="0"/>
          <w:caps w:val="0"/>
          <w:color w:val="191919"/>
          <w:spacing w:val="0"/>
          <w:sz w:val="32"/>
          <w:szCs w:val="32"/>
        </w:rPr>
      </w:pPr>
      <w:r>
        <w:rPr>
          <w:rFonts w:hint="eastAsia" w:ascii="Times New Roman" w:hAnsi="Times New Roman" w:eastAsia="仿宋" w:cs="仿宋"/>
          <w:b/>
          <w:bCs/>
          <w:i w:val="0"/>
          <w:caps w:val="0"/>
          <w:color w:val="191919"/>
          <w:spacing w:val="0"/>
          <w:sz w:val="32"/>
          <w:szCs w:val="32"/>
          <w:shd w:val="clear" w:fill="FFFFFF"/>
        </w:rPr>
        <w:t>一、合同管理总则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1、目的和依据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为加强公司的合同管理工作，预防、减少和及时解决合同纠纷，维护企业合法权益，提高经济效益，根据《中华人民共和国合同法》和有关政府部门规定，结合公司的实际情况，制定本制度。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2、适用范围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本制度适用于公司与各法人单位、其他经济组织、自然人或相互之间签订的各类合同、协议等，包括但不限于</w:t>
      </w:r>
      <w:r>
        <w:rPr>
          <w:rFonts w:hint="eastAsia" w:ascii="Times New Roman" w:hAnsi="Times New Roman" w:eastAsia="仿宋" w:cs="仿宋"/>
          <w:i w:val="0"/>
          <w:caps w:val="0"/>
          <w:color w:val="191919"/>
          <w:spacing w:val="0"/>
          <w:sz w:val="32"/>
          <w:szCs w:val="32"/>
          <w:shd w:val="clear" w:fill="FFFFFF"/>
          <w:lang w:eastAsia="zh-CN"/>
        </w:rPr>
        <w:t>委托拍卖</w:t>
      </w:r>
      <w:r>
        <w:rPr>
          <w:rFonts w:hint="eastAsia" w:ascii="Times New Roman" w:hAnsi="Times New Roman" w:eastAsia="仿宋" w:cs="仿宋"/>
          <w:i w:val="0"/>
          <w:caps w:val="0"/>
          <w:color w:val="191919"/>
          <w:spacing w:val="0"/>
          <w:sz w:val="32"/>
          <w:szCs w:val="32"/>
          <w:shd w:val="clear" w:fill="FFFFFF"/>
        </w:rPr>
        <w:t>合同等。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3、合同管理原则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合同管理必须遵循依法办事，预防为主，层层把关，跟踪监督，及时调处，维护企业合法权益的原则。签订、履行、变更、解除合同，必须遵守《中华人民共和国合同法》及有关法律、法规、规章，参照有关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4、保守商业秘密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管理、参与合同工作的一切有关人员，应当为公司保守商业秘密。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3" w:firstLineChars="200"/>
        <w:jc w:val="left"/>
        <w:textAlignment w:val="auto"/>
        <w:rPr>
          <w:rFonts w:hint="eastAsia" w:ascii="Times New Roman" w:hAnsi="Times New Roman" w:eastAsia="仿宋" w:cs="仿宋"/>
          <w:b/>
          <w:bCs/>
          <w:i w:val="0"/>
          <w:caps w:val="0"/>
          <w:color w:val="191919"/>
          <w:spacing w:val="0"/>
          <w:sz w:val="32"/>
          <w:szCs w:val="32"/>
        </w:rPr>
      </w:pPr>
      <w:r>
        <w:rPr>
          <w:rFonts w:hint="eastAsia" w:ascii="Times New Roman" w:hAnsi="Times New Roman" w:eastAsia="仿宋" w:cs="仿宋"/>
          <w:b/>
          <w:bCs/>
          <w:i w:val="0"/>
          <w:caps w:val="0"/>
          <w:color w:val="191919"/>
          <w:spacing w:val="0"/>
          <w:sz w:val="32"/>
          <w:szCs w:val="32"/>
          <w:shd w:val="clear" w:fill="FFFFFF"/>
        </w:rPr>
        <w:t>二、合同管理职责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1、企业合同管理部门的主要合同管理职责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（1）认真学习、贯彻执行《中华人民共和国合同法》和有关条例，依法保护本企业的合法权益。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（2）制定、修订本公司合同管理制度、办法，组织实施合同管理工作。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（3）审查合同，防止不完善或不合法的合同出现。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（4）协助合同承办人员依法签订合同，参与重大合同的谈判与签订。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（5）做好合同统计、归档、保管工作。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（6）监督、检查本公司合同签订、履行情况。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（7）宣传合同法和有关法规，培训合同管理人员和业务人员、采购人员。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（8）依法处理本公司的合同纠纷。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（9）制止公司或个人利用合同进行违法活动。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（10）按期统计、汇总本公司合同签订、履行以及合同纠纷处理情况并向公司领导汇报。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w:t>
      </w:r>
      <w:r>
        <w:rPr>
          <w:rFonts w:hint="eastAsia" w:ascii="Times New Roman" w:hAnsi="Times New Roman" w:eastAsia="仿宋" w:cs="仿宋"/>
          <w:i w:val="0"/>
          <w:caps w:val="0"/>
          <w:color w:val="191919"/>
          <w:spacing w:val="0"/>
          <w:sz w:val="32"/>
          <w:szCs w:val="32"/>
          <w:shd w:val="clear" w:fill="FFFFFF"/>
          <w:lang w:eastAsia="zh-CN"/>
        </w:rPr>
        <w:t>业务</w:t>
      </w:r>
      <w:r>
        <w:rPr>
          <w:rFonts w:hint="eastAsia" w:ascii="Times New Roman" w:hAnsi="Times New Roman" w:eastAsia="仿宋" w:cs="仿宋"/>
          <w:i w:val="0"/>
          <w:caps w:val="0"/>
          <w:color w:val="191919"/>
          <w:spacing w:val="0"/>
          <w:sz w:val="32"/>
          <w:szCs w:val="32"/>
          <w:shd w:val="clear" w:fill="FFFFFF"/>
        </w:rPr>
        <w:t>部门的主要职责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（1）依法签订、变更、解除本部门的合同。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（2）严格审查本部门所签订的合同，重大合同提交有关方面会审。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（3）对所签合同，认真执行，并定期自查合同履行情况。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（4）在合同履行过程中，加强与其它各有关部门联系，发生问题及时通报。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（5）本部门合同的登记、统计、归档工作。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（6）协助</w:t>
      </w:r>
      <w:r>
        <w:rPr>
          <w:rFonts w:hint="eastAsia" w:ascii="Times New Roman" w:hAnsi="Times New Roman" w:eastAsia="仿宋" w:cs="仿宋"/>
          <w:i w:val="0"/>
          <w:caps w:val="0"/>
          <w:color w:val="191919"/>
          <w:spacing w:val="0"/>
          <w:sz w:val="32"/>
          <w:szCs w:val="32"/>
          <w:shd w:val="clear" w:fill="FFFFFF"/>
          <w:lang w:eastAsia="zh-CN"/>
        </w:rPr>
        <w:t>委托律师事务所</w:t>
      </w:r>
      <w:r>
        <w:rPr>
          <w:rFonts w:hint="eastAsia" w:ascii="Times New Roman" w:hAnsi="Times New Roman" w:eastAsia="仿宋" w:cs="仿宋"/>
          <w:i w:val="0"/>
          <w:caps w:val="0"/>
          <w:color w:val="191919"/>
          <w:spacing w:val="0"/>
          <w:sz w:val="32"/>
          <w:szCs w:val="32"/>
          <w:shd w:val="clear" w:fill="FFFFFF"/>
        </w:rPr>
        <w:t>对合同纠纷的处理。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3、财务部门的主要职责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（1）加强与供销等有关部门的联系，及时通报合同履行中的应收应付情况。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（2）做好与合同有关的应收应付款项的统计、分析，提出处理建议、妥善保管收、付凭证。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（3）配合</w:t>
      </w:r>
      <w:r>
        <w:rPr>
          <w:rFonts w:hint="eastAsia" w:ascii="Times New Roman" w:hAnsi="Times New Roman" w:eastAsia="仿宋" w:cs="仿宋"/>
          <w:i w:val="0"/>
          <w:caps w:val="0"/>
          <w:color w:val="191919"/>
          <w:spacing w:val="0"/>
          <w:sz w:val="32"/>
          <w:szCs w:val="32"/>
          <w:shd w:val="clear" w:fill="FFFFFF"/>
          <w:lang w:eastAsia="zh-CN"/>
        </w:rPr>
        <w:t>合同管理</w:t>
      </w:r>
      <w:r>
        <w:rPr>
          <w:rFonts w:hint="eastAsia" w:ascii="Times New Roman" w:hAnsi="Times New Roman" w:eastAsia="仿宋" w:cs="仿宋"/>
          <w:i w:val="0"/>
          <w:caps w:val="0"/>
          <w:color w:val="191919"/>
          <w:spacing w:val="0"/>
          <w:sz w:val="32"/>
          <w:szCs w:val="32"/>
          <w:shd w:val="clear" w:fill="FFFFFF"/>
        </w:rPr>
        <w:t>部</w:t>
      </w:r>
      <w:r>
        <w:rPr>
          <w:rFonts w:hint="eastAsia" w:ascii="Times New Roman" w:hAnsi="Times New Roman" w:eastAsia="仿宋" w:cs="仿宋"/>
          <w:i w:val="0"/>
          <w:caps w:val="0"/>
          <w:color w:val="191919"/>
          <w:spacing w:val="0"/>
          <w:sz w:val="32"/>
          <w:szCs w:val="32"/>
          <w:shd w:val="clear" w:fill="FFFFFF"/>
          <w:lang w:eastAsia="zh-CN"/>
        </w:rPr>
        <w:t>门</w:t>
      </w:r>
      <w:r>
        <w:rPr>
          <w:rFonts w:hint="eastAsia" w:ascii="Times New Roman" w:hAnsi="Times New Roman" w:eastAsia="仿宋" w:cs="仿宋"/>
          <w:i w:val="0"/>
          <w:caps w:val="0"/>
          <w:color w:val="191919"/>
          <w:spacing w:val="0"/>
          <w:sz w:val="32"/>
          <w:szCs w:val="32"/>
          <w:shd w:val="clear" w:fill="FFFFFF"/>
        </w:rPr>
        <w:t>做好合同管理工作。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3" w:firstLineChars="200"/>
        <w:jc w:val="left"/>
        <w:textAlignment w:val="auto"/>
        <w:rPr>
          <w:rFonts w:hint="eastAsia" w:ascii="Times New Roman" w:hAnsi="Times New Roman" w:eastAsia="仿宋" w:cs="仿宋"/>
          <w:b/>
          <w:bCs/>
          <w:i w:val="0"/>
          <w:caps w:val="0"/>
          <w:color w:val="191919"/>
          <w:spacing w:val="0"/>
          <w:sz w:val="32"/>
          <w:szCs w:val="32"/>
        </w:rPr>
      </w:pPr>
      <w:r>
        <w:rPr>
          <w:rFonts w:hint="eastAsia" w:ascii="Times New Roman" w:hAnsi="Times New Roman" w:eastAsia="仿宋" w:cs="仿宋"/>
          <w:b/>
          <w:bCs/>
          <w:i w:val="0"/>
          <w:caps w:val="0"/>
          <w:color w:val="191919"/>
          <w:spacing w:val="0"/>
          <w:sz w:val="32"/>
          <w:szCs w:val="32"/>
          <w:shd w:val="clear" w:fill="FFFFFF"/>
        </w:rPr>
        <w:t>三、合同审签管理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1、公司对外签订合同，应由法定代表人或法定代表人授权的代理人进行。未经授权，任何人不得以公司名义对外签订合同。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2、严禁将合同</w:t>
      </w:r>
      <w:r>
        <w:rPr>
          <w:rFonts w:hint="eastAsia" w:ascii="Times New Roman" w:hAnsi="Times New Roman" w:eastAsia="仿宋" w:cs="仿宋"/>
          <w:i w:val="0"/>
          <w:caps w:val="0"/>
          <w:color w:val="191919"/>
          <w:spacing w:val="0"/>
          <w:sz w:val="32"/>
          <w:szCs w:val="32"/>
          <w:shd w:val="clear" w:fill="FFFFFF"/>
          <w:lang w:eastAsia="zh-CN"/>
        </w:rPr>
        <w:t>授权委托书</w:t>
      </w:r>
      <w:r>
        <w:rPr>
          <w:rFonts w:hint="eastAsia" w:ascii="Times New Roman" w:hAnsi="Times New Roman" w:eastAsia="仿宋" w:cs="仿宋"/>
          <w:i w:val="0"/>
          <w:caps w:val="0"/>
          <w:color w:val="191919"/>
          <w:spacing w:val="0"/>
          <w:sz w:val="32"/>
          <w:szCs w:val="32"/>
          <w:shd w:val="clear" w:fill="FFFFFF"/>
        </w:rPr>
        <w:t>转借其他单位或个人使用。</w:t>
      </w:r>
      <w:r>
        <w:rPr>
          <w:rFonts w:hint="eastAsia" w:ascii="Times New Roman" w:hAnsi="Times New Roman" w:eastAsia="仿宋" w:cs="仿宋"/>
          <w:i w:val="0"/>
          <w:caps w:val="0"/>
          <w:color w:val="191919"/>
          <w:spacing w:val="0"/>
          <w:sz w:val="32"/>
          <w:szCs w:val="32"/>
          <w:shd w:val="clear" w:fill="FFFFFF"/>
          <w:lang w:eastAsia="zh-CN"/>
        </w:rPr>
        <w:t>授权委托书</w:t>
      </w:r>
      <w:r>
        <w:rPr>
          <w:rFonts w:hint="eastAsia" w:ascii="Times New Roman" w:hAnsi="Times New Roman" w:eastAsia="仿宋" w:cs="仿宋"/>
          <w:i w:val="0"/>
          <w:caps w:val="0"/>
          <w:color w:val="191919"/>
          <w:spacing w:val="0"/>
          <w:sz w:val="32"/>
          <w:szCs w:val="32"/>
          <w:shd w:val="clear" w:fill="FFFFFF"/>
        </w:rPr>
        <w:t>的存根应当保存五年，以备核查。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3、除及时清结者外，合同应当采用书面形式，合同文本应当采用</w:t>
      </w:r>
      <w:r>
        <w:rPr>
          <w:rFonts w:hint="eastAsia" w:ascii="Times New Roman" w:hAnsi="Times New Roman" w:eastAsia="仿宋" w:cs="仿宋"/>
          <w:i w:val="0"/>
          <w:caps w:val="0"/>
          <w:color w:val="191919"/>
          <w:spacing w:val="0"/>
          <w:sz w:val="32"/>
          <w:szCs w:val="32"/>
          <w:shd w:val="clear" w:fill="FFFFFF"/>
          <w:lang w:eastAsia="zh-CN"/>
        </w:rPr>
        <w:t>合同管理</w:t>
      </w:r>
      <w:r>
        <w:rPr>
          <w:rFonts w:hint="eastAsia" w:ascii="Times New Roman" w:hAnsi="Times New Roman" w:eastAsia="仿宋" w:cs="仿宋"/>
          <w:i w:val="0"/>
          <w:caps w:val="0"/>
          <w:color w:val="191919"/>
          <w:spacing w:val="0"/>
          <w:sz w:val="32"/>
          <w:szCs w:val="32"/>
          <w:shd w:val="clear" w:fill="FFFFFF"/>
        </w:rPr>
        <w:t>部</w:t>
      </w:r>
      <w:r>
        <w:rPr>
          <w:rFonts w:hint="eastAsia" w:ascii="Times New Roman" w:hAnsi="Times New Roman" w:eastAsia="仿宋" w:cs="仿宋"/>
          <w:i w:val="0"/>
          <w:caps w:val="0"/>
          <w:color w:val="191919"/>
          <w:spacing w:val="0"/>
          <w:sz w:val="32"/>
          <w:szCs w:val="32"/>
          <w:shd w:val="clear" w:fill="FFFFFF"/>
          <w:lang w:eastAsia="zh-CN"/>
        </w:rPr>
        <w:t>门</w:t>
      </w:r>
      <w:r>
        <w:rPr>
          <w:rFonts w:hint="eastAsia" w:ascii="Times New Roman" w:hAnsi="Times New Roman" w:eastAsia="仿宋" w:cs="仿宋"/>
          <w:i w:val="0"/>
          <w:caps w:val="0"/>
          <w:color w:val="191919"/>
          <w:spacing w:val="0"/>
          <w:sz w:val="32"/>
          <w:szCs w:val="32"/>
          <w:shd w:val="clear" w:fill="FFFFFF"/>
        </w:rPr>
        <w:t>发布的合同示范文本；合同相对方提供的合同文本必须送交</w:t>
      </w:r>
      <w:r>
        <w:rPr>
          <w:rFonts w:hint="eastAsia" w:ascii="Times New Roman" w:hAnsi="Times New Roman" w:eastAsia="仿宋" w:cs="仿宋"/>
          <w:i w:val="0"/>
          <w:caps w:val="0"/>
          <w:color w:val="191919"/>
          <w:spacing w:val="0"/>
          <w:sz w:val="32"/>
          <w:szCs w:val="32"/>
          <w:shd w:val="clear" w:fill="FFFFFF"/>
          <w:lang w:eastAsia="zh-CN"/>
        </w:rPr>
        <w:t>合同管理</w:t>
      </w:r>
      <w:r>
        <w:rPr>
          <w:rFonts w:hint="eastAsia" w:ascii="Times New Roman" w:hAnsi="Times New Roman" w:eastAsia="仿宋" w:cs="仿宋"/>
          <w:i w:val="0"/>
          <w:caps w:val="0"/>
          <w:color w:val="191919"/>
          <w:spacing w:val="0"/>
          <w:sz w:val="32"/>
          <w:szCs w:val="32"/>
          <w:shd w:val="clear" w:fill="FFFFFF"/>
        </w:rPr>
        <w:t>部</w:t>
      </w:r>
      <w:r>
        <w:rPr>
          <w:rFonts w:hint="eastAsia" w:ascii="Times New Roman" w:hAnsi="Times New Roman" w:eastAsia="仿宋" w:cs="仿宋"/>
          <w:i w:val="0"/>
          <w:caps w:val="0"/>
          <w:color w:val="191919"/>
          <w:spacing w:val="0"/>
          <w:sz w:val="32"/>
          <w:szCs w:val="32"/>
          <w:shd w:val="clear" w:fill="FFFFFF"/>
          <w:lang w:eastAsia="zh-CN"/>
        </w:rPr>
        <w:t>门</w:t>
      </w:r>
      <w:r>
        <w:rPr>
          <w:rFonts w:hint="eastAsia" w:ascii="Times New Roman" w:hAnsi="Times New Roman" w:eastAsia="仿宋" w:cs="仿宋"/>
          <w:i w:val="0"/>
          <w:caps w:val="0"/>
          <w:color w:val="191919"/>
          <w:spacing w:val="0"/>
          <w:sz w:val="32"/>
          <w:szCs w:val="32"/>
          <w:shd w:val="clear" w:fill="FFFFFF"/>
        </w:rPr>
        <w:t>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4、所有合同都应按顺序由</w:t>
      </w:r>
      <w:r>
        <w:rPr>
          <w:rFonts w:hint="eastAsia" w:ascii="Times New Roman" w:hAnsi="Times New Roman" w:eastAsia="仿宋" w:cs="仿宋"/>
          <w:i w:val="0"/>
          <w:caps w:val="0"/>
          <w:color w:val="191919"/>
          <w:spacing w:val="0"/>
          <w:sz w:val="32"/>
          <w:szCs w:val="32"/>
          <w:shd w:val="clear" w:fill="FFFFFF"/>
          <w:lang w:eastAsia="zh-CN"/>
        </w:rPr>
        <w:t>合同管理</w:t>
      </w:r>
      <w:r>
        <w:rPr>
          <w:rFonts w:hint="eastAsia" w:ascii="Times New Roman" w:hAnsi="Times New Roman" w:eastAsia="仿宋" w:cs="仿宋"/>
          <w:i w:val="0"/>
          <w:caps w:val="0"/>
          <w:color w:val="191919"/>
          <w:spacing w:val="0"/>
          <w:sz w:val="32"/>
          <w:szCs w:val="32"/>
          <w:shd w:val="clear" w:fill="FFFFFF"/>
        </w:rPr>
        <w:t>部</w:t>
      </w:r>
      <w:r>
        <w:rPr>
          <w:rFonts w:hint="eastAsia" w:ascii="Times New Roman" w:hAnsi="Times New Roman" w:eastAsia="仿宋" w:cs="仿宋"/>
          <w:i w:val="0"/>
          <w:caps w:val="0"/>
          <w:color w:val="191919"/>
          <w:spacing w:val="0"/>
          <w:sz w:val="32"/>
          <w:szCs w:val="32"/>
          <w:shd w:val="clear" w:fill="FFFFFF"/>
          <w:lang w:eastAsia="zh-CN"/>
        </w:rPr>
        <w:t>门</w:t>
      </w:r>
      <w:r>
        <w:rPr>
          <w:rFonts w:hint="eastAsia" w:ascii="Times New Roman" w:hAnsi="Times New Roman" w:eastAsia="仿宋" w:cs="仿宋"/>
          <w:i w:val="0"/>
          <w:caps w:val="0"/>
          <w:color w:val="191919"/>
          <w:spacing w:val="0"/>
          <w:sz w:val="32"/>
          <w:szCs w:val="32"/>
          <w:shd w:val="clear" w:fill="FFFFFF"/>
        </w:rPr>
        <w:t>统一编号。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5、合同及其有关的书面材料，应当语言规范，字迹（符号）清晰，条款完整，内容具体，用语准确、无歧义。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6、订立合同，必须完备合同条款。合同条款一般包括当事人的名称或者姓名和住所，标的，数量和质量，价款和报酬，履行的期限、地点和方式，违约责任及解决争议的方法等。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7、对于合同标的没有国家标准又难以用书面确切描述的，应当封存样品，由合同双方共同封存，加盖公章或合同章，分别交由各分公司经理、各部门经理或主管负责保管。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8、订立依法可以设定担保或者对对方当事人的履约能力没有把握的合同，应当要求对方当事人依法提供保证、抵押、留置、定金等相应形式的有效担保。 对方当事人提供的保证人，必须是法律许可的具有代为清偿债务能力的法人、其他组织或者自然人。对对方当事人的保证人的主体资格和清偿债务能力要参照本制度的规定进行审查。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9、对外签订合同，要明确选择纠纷管辖地，并力求选择本公司所在地法院。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10、法定代表人或合同承办人应当亲自在合同文本上签名盖章。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11、签订合同，应当加盖单位的合同专用章或公章。严禁在空白合同文本上加盖合同专用章或公章。单份合同文本达二页以上的须加盖骑缝章。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四、合同审签程序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1、签订合同前必须严格审查对方当事人的主体资格。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 对法人必须审查原件或者盖有工商行政管理局复印专用章的公司法人营业执照或营业执照的副本复印件（必须有最近年检章）。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 对非法人经济组织，应当审查其是否按法律规定登记并领取营业执照。对分支机构或是事业单位和社会团体设立的经营单位，除审查其经营范围外，还应同时审查其所从属的法人主体资格。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（3） 对外方当事人的资格审查，应调查清楚其地位和性质、公司或组织是否合法存在、法定名称、地址、法定代表人姓名、国籍及公司或组织注册地。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2、签订合同前需要审查代理人的代理身份和代理资格。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 代理人职务资格证明及个人身份证；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 被代理人签发的授权委托书；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（3）代理行为是否超越了代理权限或代理权是否超出了代理期限。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3、签订合同，必须认真审查对方当事人的履约能力。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4、签订合同，应当仔细审查对方当事人提供的有关证明资料，必要时应到签发部门进行验证或进行实地考察，以防对方当事人伪造或变造证明材料。对方当事人提供的各种证明资料中所使用的当事人名称、印章等内容必须完全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5、下列资料不能作为主体资格和履约能力的证明资料，但可归入合同档案保存，以备考查名片；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 厂家介绍、产品介绍等资料；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 各类广告、宣传资料；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（3）各类电话、座机及手机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（4）对方当事人提供的未经我方合同承办人见证而复制的或未与原件核对无异的复印资料。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6、合同承办人应将合同的副本一份及时送交本</w:t>
      </w:r>
      <w:r>
        <w:rPr>
          <w:rFonts w:hint="eastAsia" w:ascii="Times New Roman" w:hAnsi="Times New Roman" w:eastAsia="仿宋" w:cs="仿宋"/>
          <w:i w:val="0"/>
          <w:caps w:val="0"/>
          <w:color w:val="191919"/>
          <w:spacing w:val="0"/>
          <w:sz w:val="32"/>
          <w:szCs w:val="32"/>
          <w:shd w:val="clear" w:fill="FFFFFF"/>
          <w:lang w:eastAsia="zh-CN"/>
        </w:rPr>
        <w:t>公司</w:t>
      </w:r>
      <w:r>
        <w:rPr>
          <w:rFonts w:hint="eastAsia" w:ascii="Times New Roman" w:hAnsi="Times New Roman" w:eastAsia="仿宋" w:cs="仿宋"/>
          <w:i w:val="0"/>
          <w:caps w:val="0"/>
          <w:color w:val="191919"/>
          <w:spacing w:val="0"/>
          <w:sz w:val="32"/>
          <w:szCs w:val="32"/>
          <w:shd w:val="clear" w:fill="FFFFFF"/>
        </w:rPr>
        <w:t>财务部门备案，作为财务部门收付款物的依据。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五、合同履行、变更和解除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1、合同履约管理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（1）法定代表人、公司总经理全面负责合同的履行。合同承办单位、部门和人员具体负责其订立合同的履行。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（2）在履行合同过程中，根据情况的变化，应当对对方当事人的履行能力进行跟踪调查。如发现问题，合同承办人要及时处理，必要时经单位负责人同意，可实地调查合同标的情况和对方当事人的履约能力。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（3）接收标的必须经过严格的验收或商检程序。对不符合制度和合同约定的标的应在法定期限内及时提出书面异议。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（4）合同结算必须通过本单位财务部门进行。对合法有效的合同，财务部门必须在合同约定的期限内结算。对未经合法授权或超权限签订的合同，财务部门有权拒绝结算。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（5）凡与合同有关的来往文书、电传、信函、电话记录都应作为履约证据留存。 对我方当事人的履约情况，除妥善保存有关收付凭证外，还要做好履约记录。 我方当事人收到对方当事人通过邮递方式传送的与合同有关的法律文书时，应当连同信封一并收存。通过邮递方式传送与合同有关的法律文书时，必须使用挂号信函，并保存邮局收据、回执备案。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2、合同的变更和解除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（1）对方当事人作为款物接收人而要求变更接收人时，必须有书面变更协议。严禁未取得对方当事人的书面材料而凭口头约定向已变更的接收人发货或付款。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（2）我方当事人遇有不可抗力或者其他原因无法履行合同时，应当及时收集有关证据，并立即以书面形式通知对方当事人，同时积极采取补救措施，减少损失。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（3）发现对方当事人不履行或不完全履行合同时，合同承办人应当催促对方当事人采取有效补救措施，收集、保存对方当事人不履行合同的有关证据，及时</w:t>
      </w:r>
      <w:r>
        <w:rPr>
          <w:rFonts w:hint="eastAsia" w:ascii="Times New Roman" w:hAnsi="Times New Roman" w:eastAsia="仿宋" w:cs="仿宋"/>
          <w:i w:val="0"/>
          <w:caps w:val="0"/>
          <w:color w:val="191919"/>
          <w:spacing w:val="0"/>
          <w:sz w:val="32"/>
          <w:szCs w:val="32"/>
          <w:shd w:val="clear" w:fill="FFFFFF"/>
          <w:lang w:eastAsia="zh-CN"/>
        </w:rPr>
        <w:t>合同管理</w:t>
      </w:r>
      <w:r>
        <w:rPr>
          <w:rFonts w:hint="eastAsia" w:ascii="Times New Roman" w:hAnsi="Times New Roman" w:eastAsia="仿宋" w:cs="仿宋"/>
          <w:i w:val="0"/>
          <w:caps w:val="0"/>
          <w:color w:val="191919"/>
          <w:spacing w:val="0"/>
          <w:sz w:val="32"/>
          <w:szCs w:val="32"/>
          <w:shd w:val="clear" w:fill="FFFFFF"/>
        </w:rPr>
        <w:t>部</w:t>
      </w:r>
      <w:r>
        <w:rPr>
          <w:rFonts w:hint="eastAsia" w:ascii="Times New Roman" w:hAnsi="Times New Roman" w:eastAsia="仿宋" w:cs="仿宋"/>
          <w:i w:val="0"/>
          <w:caps w:val="0"/>
          <w:color w:val="191919"/>
          <w:spacing w:val="0"/>
          <w:sz w:val="32"/>
          <w:szCs w:val="32"/>
          <w:shd w:val="clear" w:fill="FFFFFF"/>
          <w:lang w:eastAsia="zh-CN"/>
        </w:rPr>
        <w:t>门</w:t>
      </w:r>
      <w:r>
        <w:rPr>
          <w:rFonts w:hint="eastAsia" w:ascii="Times New Roman" w:hAnsi="Times New Roman" w:eastAsia="仿宋" w:cs="仿宋"/>
          <w:i w:val="0"/>
          <w:caps w:val="0"/>
          <w:color w:val="191919"/>
          <w:spacing w:val="0"/>
          <w:sz w:val="32"/>
          <w:szCs w:val="32"/>
          <w:shd w:val="clear" w:fill="FFFFFF"/>
        </w:rPr>
        <w:t>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（4）我方当事人因故变更或解除合同，应当及时以书面形式通知对方当事人，说明变更或解除合同的原因和请求对方书面答复的期限，尽快与对方当事人达成变更或解除合同的协议。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3"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b/>
          <w:bCs/>
          <w:i w:val="0"/>
          <w:caps w:val="0"/>
          <w:color w:val="191919"/>
          <w:spacing w:val="0"/>
          <w:sz w:val="32"/>
          <w:szCs w:val="32"/>
          <w:shd w:val="clear" w:fill="FFFFFF"/>
        </w:rPr>
        <w:t>六、合同纠纷处理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1、合同纠纷管理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（1）为解决合同纠纷所采取的各项措施，必须在法定的诉讼时效和期间内进行。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（2）发现对方当事人利用合同进行诈骗等犯罪活动时，应当立即向单位负责人报告并向公安机关报案。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（3）合同承办部门、人员应配合好公司</w:t>
      </w:r>
      <w:r>
        <w:rPr>
          <w:rFonts w:hint="eastAsia" w:ascii="Times New Roman" w:hAnsi="Times New Roman" w:eastAsia="仿宋" w:cs="仿宋"/>
          <w:i w:val="0"/>
          <w:caps w:val="0"/>
          <w:color w:val="191919"/>
          <w:spacing w:val="0"/>
          <w:sz w:val="32"/>
          <w:szCs w:val="32"/>
          <w:shd w:val="clear" w:fill="FFFFFF"/>
          <w:lang w:eastAsia="zh-CN"/>
        </w:rPr>
        <w:t>合同管理</w:t>
      </w:r>
      <w:r>
        <w:rPr>
          <w:rFonts w:hint="eastAsia" w:ascii="Times New Roman" w:hAnsi="Times New Roman" w:eastAsia="仿宋" w:cs="仿宋"/>
          <w:i w:val="0"/>
          <w:caps w:val="0"/>
          <w:color w:val="191919"/>
          <w:spacing w:val="0"/>
          <w:sz w:val="32"/>
          <w:szCs w:val="32"/>
          <w:shd w:val="clear" w:fill="FFFFFF"/>
        </w:rPr>
        <w:t>部</w:t>
      </w:r>
      <w:r>
        <w:rPr>
          <w:rFonts w:hint="eastAsia" w:ascii="Times New Roman" w:hAnsi="Times New Roman" w:eastAsia="仿宋" w:cs="仿宋"/>
          <w:i w:val="0"/>
          <w:caps w:val="0"/>
          <w:color w:val="191919"/>
          <w:spacing w:val="0"/>
          <w:sz w:val="32"/>
          <w:szCs w:val="32"/>
          <w:shd w:val="clear" w:fill="FFFFFF"/>
          <w:lang w:eastAsia="zh-CN"/>
        </w:rPr>
        <w:t>门</w:t>
      </w:r>
      <w:r>
        <w:rPr>
          <w:rFonts w:hint="eastAsia" w:ascii="Times New Roman" w:hAnsi="Times New Roman" w:eastAsia="仿宋" w:cs="仿宋"/>
          <w:i w:val="0"/>
          <w:caps w:val="0"/>
          <w:color w:val="191919"/>
          <w:spacing w:val="0"/>
          <w:sz w:val="32"/>
          <w:szCs w:val="32"/>
          <w:shd w:val="clear" w:fill="FFFFFF"/>
        </w:rPr>
        <w:t>参加仲裁或诉讼。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（4）合同纠纷发生后，可以通过协商、调解、仲裁、诉讼等方式解决。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（5）合同发生纠纷后，需要委托代理人参加仲裁或诉讼活动的，应当及时委托有资质的代理人参与处理纠纷。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（6）解决合同纠纷的申请书、起诉书、证据、答辩书、协议书、调解书、仲裁书、裁定书、判决书等，在结案后十日内，由承办人送交</w:t>
      </w:r>
      <w:r>
        <w:rPr>
          <w:rFonts w:hint="eastAsia" w:ascii="Times New Roman" w:hAnsi="Times New Roman" w:eastAsia="仿宋" w:cs="仿宋"/>
          <w:i w:val="0"/>
          <w:caps w:val="0"/>
          <w:color w:val="191919"/>
          <w:spacing w:val="0"/>
          <w:sz w:val="32"/>
          <w:szCs w:val="32"/>
          <w:shd w:val="clear" w:fill="FFFFFF"/>
          <w:lang w:eastAsia="zh-CN"/>
        </w:rPr>
        <w:t>合同管理</w:t>
      </w:r>
      <w:r>
        <w:rPr>
          <w:rFonts w:hint="eastAsia" w:ascii="Times New Roman" w:hAnsi="Times New Roman" w:eastAsia="仿宋" w:cs="仿宋"/>
          <w:i w:val="0"/>
          <w:caps w:val="0"/>
          <w:color w:val="191919"/>
          <w:spacing w:val="0"/>
          <w:sz w:val="32"/>
          <w:szCs w:val="32"/>
          <w:shd w:val="clear" w:fill="FFFFFF"/>
        </w:rPr>
        <w:t>部</w:t>
      </w:r>
      <w:r>
        <w:rPr>
          <w:rFonts w:hint="eastAsia" w:ascii="Times New Roman" w:hAnsi="Times New Roman" w:eastAsia="仿宋" w:cs="仿宋"/>
          <w:i w:val="0"/>
          <w:caps w:val="0"/>
          <w:color w:val="191919"/>
          <w:spacing w:val="0"/>
          <w:sz w:val="32"/>
          <w:szCs w:val="32"/>
          <w:shd w:val="clear" w:fill="FFFFFF"/>
          <w:lang w:eastAsia="zh-CN"/>
        </w:rPr>
        <w:t>门</w:t>
      </w:r>
      <w:r>
        <w:rPr>
          <w:rFonts w:hint="eastAsia" w:ascii="Times New Roman" w:hAnsi="Times New Roman" w:eastAsia="仿宋" w:cs="仿宋"/>
          <w:i w:val="0"/>
          <w:caps w:val="0"/>
          <w:color w:val="191919"/>
          <w:spacing w:val="0"/>
          <w:sz w:val="32"/>
          <w:szCs w:val="32"/>
          <w:shd w:val="clear" w:fill="FFFFFF"/>
        </w:rPr>
        <w:t>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2、合同纠纷处理程序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（1）发生合同纠纷，合同承办部门、人员应立即报告分管领导和</w:t>
      </w:r>
      <w:r>
        <w:rPr>
          <w:rFonts w:hint="eastAsia" w:ascii="Times New Roman" w:hAnsi="Times New Roman" w:eastAsia="仿宋" w:cs="仿宋"/>
          <w:i w:val="0"/>
          <w:caps w:val="0"/>
          <w:color w:val="191919"/>
          <w:spacing w:val="0"/>
          <w:sz w:val="32"/>
          <w:szCs w:val="32"/>
          <w:shd w:val="clear" w:fill="FFFFFF"/>
          <w:lang w:eastAsia="zh-CN"/>
        </w:rPr>
        <w:t>合同管理</w:t>
      </w:r>
      <w:r>
        <w:rPr>
          <w:rFonts w:hint="eastAsia" w:ascii="Times New Roman" w:hAnsi="Times New Roman" w:eastAsia="仿宋" w:cs="仿宋"/>
          <w:i w:val="0"/>
          <w:caps w:val="0"/>
          <w:color w:val="191919"/>
          <w:spacing w:val="0"/>
          <w:sz w:val="32"/>
          <w:szCs w:val="32"/>
          <w:shd w:val="clear" w:fill="FFFFFF"/>
        </w:rPr>
        <w:t>部</w:t>
      </w:r>
      <w:r>
        <w:rPr>
          <w:rFonts w:hint="eastAsia" w:ascii="Times New Roman" w:hAnsi="Times New Roman" w:eastAsia="仿宋" w:cs="仿宋"/>
          <w:i w:val="0"/>
          <w:caps w:val="0"/>
          <w:color w:val="191919"/>
          <w:spacing w:val="0"/>
          <w:sz w:val="32"/>
          <w:szCs w:val="32"/>
          <w:shd w:val="clear" w:fill="FFFFFF"/>
          <w:lang w:eastAsia="zh-CN"/>
        </w:rPr>
        <w:t>门</w:t>
      </w:r>
      <w:r>
        <w:rPr>
          <w:rFonts w:hint="eastAsia" w:ascii="Times New Roman" w:hAnsi="Times New Roman" w:eastAsia="仿宋" w:cs="仿宋"/>
          <w:i w:val="0"/>
          <w:caps w:val="0"/>
          <w:color w:val="191919"/>
          <w:spacing w:val="0"/>
          <w:sz w:val="32"/>
          <w:szCs w:val="32"/>
          <w:shd w:val="clear" w:fill="FFFFFF"/>
        </w:rPr>
        <w:t>、公司领导</w:t>
      </w:r>
      <w:r>
        <w:rPr>
          <w:rFonts w:hint="eastAsia" w:ascii="Times New Roman" w:hAnsi="Times New Roman" w:eastAsia="仿宋" w:cs="仿宋"/>
          <w:i w:val="0"/>
          <w:caps w:val="0"/>
          <w:color w:val="191919"/>
          <w:spacing w:val="0"/>
          <w:sz w:val="32"/>
          <w:szCs w:val="32"/>
          <w:shd w:val="clear" w:fill="FFFFFF"/>
          <w:lang w:eastAsia="zh-CN"/>
        </w:rPr>
        <w:t>、合同管理</w:t>
      </w:r>
      <w:r>
        <w:rPr>
          <w:rFonts w:hint="eastAsia" w:ascii="Times New Roman" w:hAnsi="Times New Roman" w:eastAsia="仿宋" w:cs="仿宋"/>
          <w:i w:val="0"/>
          <w:caps w:val="0"/>
          <w:color w:val="191919"/>
          <w:spacing w:val="0"/>
          <w:sz w:val="32"/>
          <w:szCs w:val="32"/>
          <w:shd w:val="clear" w:fill="FFFFFF"/>
        </w:rPr>
        <w:t>部</w:t>
      </w:r>
      <w:r>
        <w:rPr>
          <w:rFonts w:hint="eastAsia" w:ascii="Times New Roman" w:hAnsi="Times New Roman" w:eastAsia="仿宋" w:cs="仿宋"/>
          <w:i w:val="0"/>
          <w:caps w:val="0"/>
          <w:color w:val="191919"/>
          <w:spacing w:val="0"/>
          <w:sz w:val="32"/>
          <w:szCs w:val="32"/>
          <w:shd w:val="clear" w:fill="FFFFFF"/>
          <w:lang w:eastAsia="zh-CN"/>
        </w:rPr>
        <w:t>门</w:t>
      </w:r>
      <w:r>
        <w:rPr>
          <w:rFonts w:hint="eastAsia" w:ascii="Times New Roman" w:hAnsi="Times New Roman" w:eastAsia="仿宋" w:cs="仿宋"/>
          <w:i w:val="0"/>
          <w:caps w:val="0"/>
          <w:color w:val="191919"/>
          <w:spacing w:val="0"/>
          <w:sz w:val="32"/>
          <w:szCs w:val="32"/>
          <w:shd w:val="clear" w:fill="FFFFFF"/>
        </w:rPr>
        <w:t>、财务部等相关部门应当及时提供解决纠纷所需的相关材料。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（2）在处理合同纠纷过程中，对于可能因对方当事人的行为或者其他原因，使判决不能执行或者难以执行的案件，应当及时向法院申请财产保全。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（3）合同纠纷发生后，应当依法采取一切措施，积极收集、整理有关证据。在证据可能灭失或者难以取得的情况下，应当向法院申请保全证据。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（4）向法院提供原始证据时，必须先行复制，并请求法院的承办人员出具证据收执。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3" w:firstLineChars="200"/>
        <w:jc w:val="left"/>
        <w:textAlignment w:val="auto"/>
        <w:rPr>
          <w:rFonts w:hint="eastAsia" w:ascii="Times New Roman" w:hAnsi="Times New Roman" w:eastAsia="仿宋" w:cs="仿宋"/>
          <w:b/>
          <w:bCs/>
          <w:i w:val="0"/>
          <w:caps w:val="0"/>
          <w:color w:val="191919"/>
          <w:spacing w:val="0"/>
          <w:sz w:val="32"/>
          <w:szCs w:val="32"/>
        </w:rPr>
      </w:pPr>
      <w:r>
        <w:rPr>
          <w:rFonts w:hint="eastAsia" w:ascii="Times New Roman" w:hAnsi="Times New Roman" w:eastAsia="仿宋" w:cs="仿宋"/>
          <w:b/>
          <w:bCs/>
          <w:i w:val="0"/>
          <w:caps w:val="0"/>
          <w:color w:val="191919"/>
          <w:spacing w:val="0"/>
          <w:sz w:val="32"/>
          <w:szCs w:val="32"/>
          <w:shd w:val="clear" w:fill="FFFFFF"/>
        </w:rPr>
        <w:t>七、合同资料管理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1、档案资料内容 ，下列资料可以作为合同档案：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 谈判记录、可行性研究报告和报审及批准文件；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（2）对方当事人的法人营业执照、营业执照、事业法人执照的副本复印件；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（3） 对方当事人履约能力证明资料复印件；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（4）对方当事人的法定代表人或合同承办人的职务资格证明、个人身份证明、介绍信、授权委托书的原件或复印件；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（5） 我方当事人的法定代表人的授权委托书的原件和复印件；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（6） 对方当事人的担保人的担保能力和主体资格证明资料的复印件；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（7）双方签订或履行合同的往来电报、电传、信函、电话记录等书面材料和视听材料；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（8）登记、见证、鉴证、公证等文书资料；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（9）合同正本、副本及变更、解除合同的书面协议；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（10） 标的验收记录；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（11） 交接、收付标的、款项的原始凭证复印件。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2、合同资料归档、统计与管理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（1）公司所有合同都必须统一编号，由</w:t>
      </w:r>
      <w:r>
        <w:rPr>
          <w:rFonts w:hint="eastAsia" w:ascii="Times New Roman" w:hAnsi="Times New Roman" w:eastAsia="仿宋" w:cs="仿宋"/>
          <w:i w:val="0"/>
          <w:caps w:val="0"/>
          <w:color w:val="191919"/>
          <w:spacing w:val="0"/>
          <w:sz w:val="32"/>
          <w:szCs w:val="32"/>
          <w:shd w:val="clear" w:fill="FFFFFF"/>
          <w:lang w:eastAsia="zh-CN"/>
        </w:rPr>
        <w:t>合同管理</w:t>
      </w:r>
      <w:r>
        <w:rPr>
          <w:rFonts w:hint="eastAsia" w:ascii="Times New Roman" w:hAnsi="Times New Roman" w:eastAsia="仿宋" w:cs="仿宋"/>
          <w:i w:val="0"/>
          <w:caps w:val="0"/>
          <w:color w:val="191919"/>
          <w:spacing w:val="0"/>
          <w:sz w:val="32"/>
          <w:szCs w:val="32"/>
          <w:shd w:val="clear" w:fill="FFFFFF"/>
        </w:rPr>
        <w:t>部</w:t>
      </w:r>
      <w:r>
        <w:rPr>
          <w:rFonts w:hint="eastAsia" w:ascii="Times New Roman" w:hAnsi="Times New Roman" w:eastAsia="仿宋" w:cs="仿宋"/>
          <w:i w:val="0"/>
          <w:caps w:val="0"/>
          <w:color w:val="191919"/>
          <w:spacing w:val="0"/>
          <w:sz w:val="32"/>
          <w:szCs w:val="32"/>
          <w:shd w:val="clear" w:fill="FFFFFF"/>
          <w:lang w:eastAsia="zh-CN"/>
        </w:rPr>
        <w:t>门</w:t>
      </w:r>
      <w:r>
        <w:rPr>
          <w:rFonts w:hint="eastAsia" w:ascii="Times New Roman" w:hAnsi="Times New Roman" w:eastAsia="仿宋" w:cs="仿宋"/>
          <w:i w:val="0"/>
          <w:caps w:val="0"/>
          <w:color w:val="191919"/>
          <w:spacing w:val="0"/>
          <w:sz w:val="32"/>
          <w:szCs w:val="32"/>
          <w:shd w:val="clear" w:fill="FFFFFF"/>
        </w:rPr>
        <w:t>妥善保管。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（2）合同承办人办理完毕签订、变更、履行及解除合同的各项手续后十日内，应将合同档案资料移交</w:t>
      </w:r>
      <w:r>
        <w:rPr>
          <w:rFonts w:hint="eastAsia" w:ascii="Times New Roman" w:hAnsi="Times New Roman" w:eastAsia="仿宋" w:cs="仿宋"/>
          <w:i w:val="0"/>
          <w:caps w:val="0"/>
          <w:color w:val="191919"/>
          <w:spacing w:val="0"/>
          <w:sz w:val="32"/>
          <w:szCs w:val="32"/>
          <w:shd w:val="clear" w:fill="FFFFFF"/>
          <w:lang w:eastAsia="zh-CN"/>
        </w:rPr>
        <w:t>合同管理</w:t>
      </w:r>
      <w:r>
        <w:rPr>
          <w:rFonts w:hint="eastAsia" w:ascii="Times New Roman" w:hAnsi="Times New Roman" w:eastAsia="仿宋" w:cs="仿宋"/>
          <w:i w:val="0"/>
          <w:caps w:val="0"/>
          <w:color w:val="191919"/>
          <w:spacing w:val="0"/>
          <w:sz w:val="32"/>
          <w:szCs w:val="32"/>
          <w:shd w:val="clear" w:fill="FFFFFF"/>
        </w:rPr>
        <w:t>部</w:t>
      </w:r>
      <w:r>
        <w:rPr>
          <w:rFonts w:hint="eastAsia" w:ascii="Times New Roman" w:hAnsi="Times New Roman" w:eastAsia="仿宋" w:cs="仿宋"/>
          <w:i w:val="0"/>
          <w:caps w:val="0"/>
          <w:color w:val="191919"/>
          <w:spacing w:val="0"/>
          <w:sz w:val="32"/>
          <w:szCs w:val="32"/>
          <w:shd w:val="clear" w:fill="FFFFFF"/>
          <w:lang w:eastAsia="zh-CN"/>
        </w:rPr>
        <w:t>门</w:t>
      </w:r>
      <w:r>
        <w:rPr>
          <w:rFonts w:hint="eastAsia" w:ascii="Times New Roman" w:hAnsi="Times New Roman" w:eastAsia="仿宋" w:cs="仿宋"/>
          <w:i w:val="0"/>
          <w:caps w:val="0"/>
          <w:color w:val="191919"/>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3" w:firstLineChars="200"/>
        <w:jc w:val="left"/>
        <w:textAlignment w:val="auto"/>
        <w:rPr>
          <w:rFonts w:hint="eastAsia" w:ascii="Times New Roman" w:hAnsi="Times New Roman" w:eastAsia="仿宋" w:cs="仿宋"/>
          <w:b/>
          <w:bCs/>
          <w:i w:val="0"/>
          <w:caps w:val="0"/>
          <w:color w:val="191919"/>
          <w:spacing w:val="0"/>
          <w:sz w:val="32"/>
          <w:szCs w:val="32"/>
        </w:rPr>
      </w:pPr>
      <w:r>
        <w:rPr>
          <w:rFonts w:hint="eastAsia" w:ascii="Times New Roman" w:hAnsi="Times New Roman" w:eastAsia="仿宋" w:cs="仿宋"/>
          <w:b/>
          <w:bCs/>
          <w:i w:val="0"/>
          <w:caps w:val="0"/>
          <w:color w:val="191919"/>
          <w:spacing w:val="0"/>
          <w:sz w:val="32"/>
          <w:szCs w:val="32"/>
          <w:shd w:val="clear" w:fill="FFFFFF"/>
        </w:rPr>
        <w:t>八、附则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Times New Roman" w:hAnsi="Times New Roman" w:eastAsia="仿宋" w:cs="仿宋"/>
          <w:i w:val="0"/>
          <w:caps w:val="0"/>
          <w:color w:val="191919"/>
          <w:spacing w:val="0"/>
          <w:sz w:val="32"/>
          <w:szCs w:val="32"/>
        </w:rPr>
      </w:pPr>
      <w:r>
        <w:rPr>
          <w:rFonts w:hint="eastAsia" w:ascii="Times New Roman" w:hAnsi="Times New Roman" w:eastAsia="仿宋" w:cs="仿宋"/>
          <w:i w:val="0"/>
          <w:caps w:val="0"/>
          <w:color w:val="191919"/>
          <w:spacing w:val="0"/>
          <w:sz w:val="32"/>
          <w:szCs w:val="32"/>
          <w:shd w:val="clear" w:fill="FFFFFF"/>
        </w:rPr>
        <w:t>1、凡因未按规定处理合同事宜、未及时汇报情况和遗失合同有关资料而给公司造成损失的，追究相关负责人和责任人的经济和行政责任。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420" w:lineRule="exact"/>
        <w:ind w:left="0" w:right="0" w:firstLine="640" w:firstLineChars="200"/>
        <w:jc w:val="left"/>
        <w:textAlignment w:val="auto"/>
        <w:rPr>
          <w:rFonts w:hint="eastAsia" w:ascii="楷体" w:hAnsi="楷体" w:eastAsia="楷体" w:cs="楷体"/>
          <w:i w:val="0"/>
          <w:caps w:val="0"/>
          <w:color w:val="191919"/>
          <w:spacing w:val="0"/>
          <w:sz w:val="24"/>
          <w:szCs w:val="24"/>
        </w:rPr>
      </w:pPr>
      <w:r>
        <w:rPr>
          <w:rFonts w:hint="eastAsia" w:ascii="Times New Roman" w:hAnsi="Times New Roman" w:eastAsia="仿宋" w:cs="仿宋"/>
          <w:i w:val="0"/>
          <w:caps w:val="0"/>
          <w:color w:val="191919"/>
          <w:spacing w:val="0"/>
          <w:sz w:val="32"/>
          <w:szCs w:val="32"/>
          <w:shd w:val="clear" w:fill="FFFFFF"/>
        </w:rPr>
        <w:t>2、</w:t>
      </w:r>
      <w:r>
        <w:rPr>
          <w:rFonts w:hint="eastAsia" w:ascii="Times New Roman" w:hAnsi="Times New Roman" w:eastAsia="仿宋" w:cs="仿宋"/>
          <w:i w:val="0"/>
          <w:caps w:val="0"/>
          <w:color w:val="191919"/>
          <w:spacing w:val="0"/>
          <w:sz w:val="32"/>
          <w:szCs w:val="32"/>
          <w:shd w:val="clear" w:fill="FFFFFF"/>
          <w:lang w:eastAsia="zh-CN"/>
        </w:rPr>
        <w:t>合同管理</w:t>
      </w:r>
      <w:r>
        <w:rPr>
          <w:rFonts w:hint="eastAsia" w:ascii="Times New Roman" w:hAnsi="Times New Roman" w:eastAsia="仿宋" w:cs="仿宋"/>
          <w:i w:val="0"/>
          <w:caps w:val="0"/>
          <w:color w:val="191919"/>
          <w:spacing w:val="0"/>
          <w:sz w:val="32"/>
          <w:szCs w:val="32"/>
          <w:shd w:val="clear" w:fill="FFFFFF"/>
        </w:rPr>
        <w:t>部</w:t>
      </w:r>
      <w:r>
        <w:rPr>
          <w:rFonts w:hint="eastAsia" w:ascii="Times New Roman" w:hAnsi="Times New Roman" w:eastAsia="仿宋" w:cs="仿宋"/>
          <w:i w:val="0"/>
          <w:caps w:val="0"/>
          <w:color w:val="191919"/>
          <w:spacing w:val="0"/>
          <w:sz w:val="32"/>
          <w:szCs w:val="32"/>
          <w:shd w:val="clear" w:fill="FFFFFF"/>
          <w:lang w:eastAsia="zh-CN"/>
        </w:rPr>
        <w:t>门</w:t>
      </w:r>
      <w:r>
        <w:rPr>
          <w:rFonts w:hint="eastAsia" w:ascii="Times New Roman" w:hAnsi="Times New Roman" w:eastAsia="仿宋" w:cs="仿宋"/>
          <w:i w:val="0"/>
          <w:caps w:val="0"/>
          <w:color w:val="191919"/>
          <w:spacing w:val="0"/>
          <w:sz w:val="32"/>
          <w:szCs w:val="32"/>
          <w:shd w:val="clear" w:fill="FFFFFF"/>
        </w:rPr>
        <w:t>应定期将履行完毕或不再履行的合同有关资料按合同编号整理，由法务主管确认后交行政部档案管理人员存档，不得随意处置、销毁、遗失。</w:t>
      </w:r>
    </w:p>
    <w:p>
      <w:pPr>
        <w:jc w:val="both"/>
        <w:rPr>
          <w:rFonts w:hint="eastAsia"/>
          <w:b/>
          <w:bCs/>
          <w:sz w:val="28"/>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ZDE0MmM0ZTRmZmZlOGE4MDVmNzllMDkyYzFlMWQifQ=="/>
  </w:docVars>
  <w:rsids>
    <w:rsidRoot w:val="3FA7660F"/>
    <w:rsid w:val="13465001"/>
    <w:rsid w:val="1AB01AA7"/>
    <w:rsid w:val="2A4A06D7"/>
    <w:rsid w:val="3FA7660F"/>
    <w:rsid w:val="45FF5508"/>
    <w:rsid w:val="4E565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4160</Words>
  <Characters>4165</Characters>
  <Lines>0</Lines>
  <Paragraphs>0</Paragraphs>
  <TotalTime>28</TotalTime>
  <ScaleCrop>false</ScaleCrop>
  <LinksUpToDate>false</LinksUpToDate>
  <CharactersWithSpaces>4182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2020-04-08T03:28:00Z</dcterms:created>
  <dc:creator>Administrator</dc:creator>
  <cp:lastModifiedBy>湖南天一拍卖</cp:lastModifiedBy>
  <cp:lastPrinted>2020-04-08T06:49:00Z</cp:lastPrinted>
  <dcterms:modified xsi:type="dcterms:W3CDTF">2023-02-10T09:48:43Z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3016CEF6DA604E54BF6D489F22532D68</vt:lpwstr>
  </property>
</Properties>
</file>