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156" w:afterLines="50"/>
        <w:rPr>
          <w:rFonts w:hint="eastAsia"/>
          <w:b/>
          <w:color w:val="000000"/>
        </w:rPr>
      </w:pPr>
      <w:r>
        <w:rPr>
          <w:rFonts w:hint="eastAsia"/>
          <w:b/>
          <w:color w:val="000000"/>
        </w:rPr>
        <w:t>制度编号：行政管理制度006</w:t>
      </w:r>
    </w:p>
    <w:p>
      <w:pPr>
        <w:pStyle w:val="3"/>
        <w:spacing w:after="156" w:afterLines="50"/>
        <w:rPr>
          <w:rFonts w:hint="eastAsia"/>
          <w:b/>
          <w:color w:val="000000"/>
        </w:rPr>
      </w:pPr>
      <w:r>
        <w:rPr>
          <w:rFonts w:hint="eastAsia"/>
          <w:b/>
          <w:color w:val="000000"/>
        </w:rPr>
        <w:t>制度名称：合同管理制度</w:t>
      </w:r>
    </w:p>
    <w:p>
      <w:pPr>
        <w:pStyle w:val="3"/>
        <w:spacing w:after="156" w:afterLines="50"/>
        <w:rPr>
          <w:rFonts w:hint="eastAsia"/>
          <w:b/>
          <w:color w:val="000000"/>
          <w:sz w:val="44"/>
          <w:szCs w:val="44"/>
        </w:rPr>
      </w:pPr>
      <w:r>
        <w:rPr>
          <w:rFonts w:hint="eastAsia"/>
          <w:b/>
          <w:color w:val="000000"/>
        </w:rPr>
        <w:t>生效日期：20140512</w:t>
      </w:r>
    </w:p>
    <w:p>
      <w:pPr>
        <w:spacing w:line="360" w:lineRule="auto"/>
        <w:rPr>
          <w:rFonts w:hint="eastAsia"/>
          <w:color w:val="000000"/>
          <w:sz w:val="24"/>
        </w:rPr>
      </w:pPr>
      <w:r>
        <w:rPr>
          <w:rFonts w:hint="eastAsia" w:ascii="宋体" w:hAnsi="宋体"/>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10160</wp:posOffset>
                </wp:positionV>
                <wp:extent cx="593407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9340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5pt;margin-top:0.8pt;height:0pt;width:467.25pt;z-index:251659264;mso-width-relative:page;mso-height-relative:page;" filled="f" stroked="t" coordsize="21600,21600" o:gfxdata="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mA42vUAAAABwEAAA8AAAAAAAAAAQAgAAAAIgAAAGRycy9kb3ducmV2LnhtbFBLAQIUABQA&#10;AAAIAIdO4kBynsXd9AEAAOQDAAAOAAAAAAAAAAEAIAAAACMBAABkcnMvZTJvRG9jLnhtbFBLBQYA&#10;AAAABgAGAFkBAACJBQAAAAA=&#10;">
                <v:fill on="f" focussize="0,0"/>
                <v:stroke color="#000000" joinstyle="round"/>
                <v:imagedata o:title=""/>
                <o:lock v:ext="edit" aspectratio="f"/>
              </v:line>
            </w:pict>
          </mc:Fallback>
        </mc:AlternateContent>
      </w:r>
    </w:p>
    <w:p>
      <w:pPr>
        <w:spacing w:line="360" w:lineRule="auto"/>
        <w:ind w:firstLine="720" w:firstLineChars="300"/>
        <w:rPr>
          <w:rFonts w:hint="eastAsia" w:ascii="宋体" w:hAnsi="宋体"/>
          <w:color w:val="000000"/>
          <w:sz w:val="24"/>
          <w:szCs w:val="24"/>
        </w:rPr>
      </w:pPr>
      <w:r>
        <w:rPr>
          <w:rFonts w:hint="eastAsia" w:ascii="宋体" w:hAnsi="宋体"/>
          <w:color w:val="000000"/>
          <w:sz w:val="24"/>
          <w:szCs w:val="24"/>
        </w:rPr>
        <w:t>为了进一步加强合同管理，提高经济效益，减少和避免合同纠纷，防范重大风险，根据国家有关法律法规，并结合实际，制定本办法。 </w:t>
      </w:r>
    </w:p>
    <w:p>
      <w:pPr>
        <w:spacing w:line="360" w:lineRule="auto"/>
        <w:rPr>
          <w:rFonts w:hint="eastAsia" w:ascii="宋体" w:hAnsi="宋体"/>
          <w:color w:val="000000"/>
          <w:sz w:val="24"/>
          <w:szCs w:val="24"/>
        </w:rPr>
      </w:pPr>
      <w:r>
        <w:rPr>
          <w:rFonts w:hint="eastAsia" w:ascii="宋体" w:hAnsi="宋体"/>
          <w:b/>
          <w:bCs/>
          <w:color w:val="000000"/>
          <w:sz w:val="24"/>
          <w:szCs w:val="24"/>
        </w:rPr>
        <w:t>一、合同类型和相关洽谈负责人</w:t>
      </w:r>
    </w:p>
    <w:p>
      <w:pPr>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1、</w:t>
      </w:r>
      <w:r>
        <w:rPr>
          <w:rFonts w:hint="eastAsia" w:ascii="宋体" w:hAnsi="宋体"/>
          <w:color w:val="000000"/>
          <w:sz w:val="24"/>
          <w:szCs w:val="24"/>
          <w:lang w:val="en-US" w:eastAsia="zh-CN"/>
        </w:rPr>
        <w:t>采购</w:t>
      </w:r>
      <w:r>
        <w:rPr>
          <w:rFonts w:hint="eastAsia" w:ascii="宋体" w:hAnsi="宋体"/>
          <w:color w:val="000000"/>
          <w:sz w:val="24"/>
          <w:szCs w:val="24"/>
        </w:rPr>
        <w:t>合同</w:t>
      </w:r>
      <w:r>
        <w:rPr>
          <w:rFonts w:hint="eastAsia" w:ascii="宋体" w:hAnsi="宋体"/>
          <w:color w:val="000000"/>
          <w:sz w:val="24"/>
          <w:szCs w:val="24"/>
          <w:lang w:eastAsia="zh-CN"/>
        </w:rPr>
        <w:t>，</w:t>
      </w:r>
      <w:r>
        <w:rPr>
          <w:rFonts w:hint="eastAsia" w:ascii="宋体" w:hAnsi="宋体"/>
          <w:color w:val="000000"/>
          <w:sz w:val="24"/>
          <w:szCs w:val="24"/>
        </w:rPr>
        <w:t>包括运营</w:t>
      </w:r>
      <w:r>
        <w:rPr>
          <w:rFonts w:hint="eastAsia" w:ascii="宋体" w:hAnsi="宋体"/>
          <w:color w:val="000000"/>
          <w:sz w:val="24"/>
          <w:szCs w:val="24"/>
          <w:lang w:val="en-US" w:eastAsia="zh-CN"/>
        </w:rPr>
        <w:t>活动</w:t>
      </w:r>
      <w:r>
        <w:rPr>
          <w:rFonts w:hint="eastAsia" w:ascii="宋体" w:hAnsi="宋体"/>
          <w:color w:val="000000"/>
          <w:sz w:val="24"/>
          <w:szCs w:val="24"/>
        </w:rPr>
        <w:t>中的事务合同，如桌布清洗、植物、保洁、垃圾潲水等）：由分店经理初步商谈，总监审核，经主管副总审批签字最后确定合同；</w:t>
      </w:r>
    </w:p>
    <w:p>
      <w:pPr>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2、媒体、对外合作赞助单位合同、印刷品合同：市场行销部经理初步商谈后，主管副总审核，经总经理审批签字最后确定合同；</w:t>
      </w:r>
    </w:p>
    <w:p>
      <w:pPr>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3、财务软件合同：财务经理初步商谈后，主管副总审核，经总经理最后审批签字确定合同；</w:t>
      </w:r>
    </w:p>
    <w:p>
      <w:pPr>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4、商业保险合同：财务经理初步商谈后，主管副总审核，总经理最后审批确定合同；</w:t>
      </w:r>
    </w:p>
    <w:p>
      <w:pPr>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5、租赁合同：员工宿舍的租赁合同由人力资源部经理初步商谈后，主管副总审批签订；营业门面租赁合同由市场拓展部经理初步商谈后，主管副总审核，总经理最后审批签字确定合同；</w:t>
      </w:r>
    </w:p>
    <w:p>
      <w:pPr>
        <w:tabs>
          <w:tab w:val="left" w:pos="180"/>
        </w:tabs>
        <w:spacing w:line="360" w:lineRule="auto"/>
        <w:ind w:firstLine="360" w:firstLineChars="150"/>
        <w:rPr>
          <w:rFonts w:hint="eastAsia" w:ascii="宋体" w:hAnsi="宋体"/>
          <w:color w:val="000000"/>
          <w:sz w:val="24"/>
          <w:szCs w:val="24"/>
        </w:rPr>
      </w:pPr>
      <w:r>
        <w:rPr>
          <w:rFonts w:hint="eastAsia" w:ascii="宋体" w:hAnsi="宋体"/>
          <w:color w:val="000000"/>
          <w:sz w:val="24"/>
          <w:szCs w:val="24"/>
          <w:lang w:val="en-US" w:eastAsia="zh-CN"/>
        </w:rPr>
        <w:t>6</w:t>
      </w:r>
      <w:r>
        <w:rPr>
          <w:rFonts w:hint="eastAsia" w:ascii="宋体" w:hAnsi="宋体"/>
          <w:color w:val="000000"/>
          <w:sz w:val="24"/>
          <w:szCs w:val="24"/>
        </w:rPr>
        <w:t>、</w:t>
      </w:r>
      <w:r>
        <w:rPr>
          <w:rFonts w:hint="eastAsia" w:ascii="宋体" w:hAnsi="宋体"/>
          <w:color w:val="000000"/>
          <w:sz w:val="24"/>
          <w:szCs w:val="24"/>
          <w:lang w:val="en-US" w:eastAsia="zh-CN"/>
        </w:rPr>
        <w:t>物</w:t>
      </w:r>
      <w:r>
        <w:rPr>
          <w:rFonts w:hint="eastAsia" w:ascii="宋体" w:hAnsi="宋体"/>
          <w:color w:val="000000"/>
          <w:sz w:val="24"/>
          <w:szCs w:val="24"/>
        </w:rPr>
        <w:t>料供应合同：由分店经理及采购经理初步商谈，总监审核，经主管付总审批签字确定；</w:t>
      </w:r>
    </w:p>
    <w:p>
      <w:pPr>
        <w:tabs>
          <w:tab w:val="left" w:pos="180"/>
        </w:tabs>
        <w:spacing w:line="360" w:lineRule="auto"/>
        <w:ind w:firstLine="360" w:firstLineChars="150"/>
        <w:rPr>
          <w:rFonts w:hint="eastAsia" w:ascii="宋体" w:hAnsi="宋体"/>
          <w:color w:val="000000"/>
          <w:sz w:val="24"/>
          <w:szCs w:val="24"/>
        </w:rPr>
      </w:pPr>
      <w:r>
        <w:rPr>
          <w:rFonts w:hint="eastAsia" w:ascii="宋体" w:hAnsi="宋体"/>
          <w:color w:val="000000"/>
          <w:sz w:val="24"/>
          <w:szCs w:val="24"/>
          <w:lang w:val="en-US" w:eastAsia="zh-CN"/>
        </w:rPr>
        <w:t>7</w:t>
      </w:r>
      <w:r>
        <w:rPr>
          <w:rFonts w:hint="eastAsia" w:ascii="宋体" w:hAnsi="宋体"/>
          <w:color w:val="000000"/>
          <w:sz w:val="24"/>
          <w:szCs w:val="24"/>
        </w:rPr>
        <w:t>、</w:t>
      </w:r>
      <w:r>
        <w:rPr>
          <w:rFonts w:hint="eastAsia" w:ascii="宋体" w:hAnsi="宋体"/>
          <w:color w:val="000000"/>
          <w:sz w:val="24"/>
          <w:szCs w:val="24"/>
          <w:lang w:val="en-US" w:eastAsia="zh-CN"/>
        </w:rPr>
        <w:t>管理</w:t>
      </w:r>
      <w:r>
        <w:rPr>
          <w:rFonts w:hint="eastAsia" w:ascii="宋体" w:hAnsi="宋体"/>
          <w:color w:val="000000"/>
          <w:sz w:val="24"/>
          <w:szCs w:val="24"/>
        </w:rPr>
        <w:t>中发生的其他合同：由部门经理初步商谈，总监审核，经主管副总审批签字确定；</w:t>
      </w:r>
    </w:p>
    <w:p>
      <w:pPr>
        <w:tabs>
          <w:tab w:val="left" w:pos="180"/>
        </w:tabs>
        <w:spacing w:line="360" w:lineRule="auto"/>
        <w:ind w:firstLine="360" w:firstLineChars="150"/>
        <w:rPr>
          <w:rFonts w:hint="eastAsia" w:ascii="宋体" w:hAnsi="宋体"/>
          <w:color w:val="000000"/>
          <w:sz w:val="24"/>
          <w:szCs w:val="24"/>
        </w:rPr>
      </w:pPr>
      <w:r>
        <w:rPr>
          <w:rFonts w:hint="eastAsia" w:ascii="宋体" w:hAnsi="宋体"/>
          <w:color w:val="000000"/>
          <w:sz w:val="24"/>
          <w:szCs w:val="24"/>
          <w:lang w:val="en-US" w:eastAsia="zh-CN"/>
        </w:rPr>
        <w:t>8</w:t>
      </w:r>
      <w:r>
        <w:rPr>
          <w:rFonts w:hint="eastAsia" w:ascii="宋体" w:hAnsi="宋体"/>
          <w:color w:val="000000"/>
          <w:sz w:val="24"/>
          <w:szCs w:val="24"/>
        </w:rPr>
        <w:t>、加盟合同：由市场拓展部经理初步商谈，运营总监及总经理商谈共同签字确定；</w:t>
      </w:r>
    </w:p>
    <w:p>
      <w:pPr>
        <w:spacing w:line="360" w:lineRule="auto"/>
        <w:ind w:firstLine="360" w:firstLineChars="150"/>
        <w:rPr>
          <w:rFonts w:hint="eastAsia" w:ascii="宋体" w:hAnsi="宋体"/>
          <w:color w:val="000000"/>
          <w:sz w:val="24"/>
          <w:szCs w:val="24"/>
        </w:rPr>
      </w:pPr>
      <w:r>
        <w:rPr>
          <w:rFonts w:hint="eastAsia" w:ascii="宋体" w:hAnsi="宋体"/>
          <w:color w:val="000000"/>
          <w:sz w:val="24"/>
          <w:szCs w:val="24"/>
          <w:lang w:val="en-US" w:eastAsia="zh-CN"/>
        </w:rPr>
        <w:t>9</w:t>
      </w:r>
      <w:r>
        <w:rPr>
          <w:rFonts w:hint="eastAsia" w:ascii="宋体" w:hAnsi="宋体"/>
          <w:color w:val="000000"/>
          <w:sz w:val="24"/>
          <w:szCs w:val="24"/>
        </w:rPr>
        <w:t>、所有交给外部人员的书面文件在授权人员签订合同前不得加盖公司公章；</w:t>
      </w:r>
    </w:p>
    <w:p>
      <w:pPr>
        <w:tabs>
          <w:tab w:val="left" w:pos="900"/>
        </w:tabs>
        <w:spacing w:line="360" w:lineRule="auto"/>
        <w:rPr>
          <w:rFonts w:hint="eastAsia" w:ascii="宋体" w:hAnsi="宋体"/>
          <w:b/>
          <w:bCs/>
          <w:color w:val="000000"/>
          <w:sz w:val="24"/>
          <w:szCs w:val="24"/>
        </w:rPr>
      </w:pPr>
      <w:r>
        <w:rPr>
          <w:rFonts w:hint="eastAsia" w:ascii="宋体" w:hAnsi="宋体"/>
          <w:b/>
          <w:bCs/>
          <w:color w:val="000000"/>
          <w:sz w:val="24"/>
          <w:szCs w:val="24"/>
        </w:rPr>
        <w:t>二、合同的签订</w:t>
      </w:r>
    </w:p>
    <w:p>
      <w:pPr>
        <w:spacing w:line="360" w:lineRule="auto"/>
        <w:ind w:left="360"/>
        <w:rPr>
          <w:rFonts w:hint="eastAsia" w:ascii="宋体" w:hAnsi="宋体"/>
          <w:color w:val="000000"/>
          <w:sz w:val="24"/>
          <w:szCs w:val="24"/>
        </w:rPr>
      </w:pPr>
      <w:r>
        <w:rPr>
          <w:rFonts w:hint="eastAsia" w:ascii="宋体" w:hAnsi="宋体"/>
          <w:color w:val="000000"/>
          <w:sz w:val="24"/>
          <w:szCs w:val="24"/>
        </w:rPr>
        <w:t xml:space="preserve">（一） </w:t>
      </w:r>
      <w:r>
        <w:rPr>
          <w:rFonts w:hint="eastAsia" w:ascii="宋体" w:hAnsi="宋体"/>
          <w:b/>
          <w:bCs/>
          <w:color w:val="000000"/>
          <w:sz w:val="24"/>
          <w:szCs w:val="24"/>
        </w:rPr>
        <w:t>采购部门</w:t>
      </w:r>
    </w:p>
    <w:p>
      <w:pPr>
        <w:spacing w:line="360" w:lineRule="auto"/>
        <w:ind w:left="120" w:leftChars="57" w:firstLine="240" w:firstLineChars="100"/>
        <w:rPr>
          <w:rFonts w:hint="eastAsia" w:ascii="宋体" w:hAnsi="宋体"/>
          <w:color w:val="000000"/>
          <w:sz w:val="24"/>
          <w:szCs w:val="24"/>
        </w:rPr>
      </w:pPr>
      <w:r>
        <w:rPr>
          <w:rFonts w:hint="eastAsia" w:ascii="宋体" w:hAnsi="宋体"/>
          <w:color w:val="000000"/>
          <w:sz w:val="24"/>
          <w:szCs w:val="24"/>
        </w:rPr>
        <w:t xml:space="preserve">1、把供货商的初步报价交相关的部门负责人审核，运营总监审批，共同订立货物利润点； </w:t>
      </w:r>
    </w:p>
    <w:p>
      <w:pPr>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2、其他货物则与财务部门、运营总监共同订立利润点；</w:t>
      </w:r>
    </w:p>
    <w:p>
      <w:pPr>
        <w:tabs>
          <w:tab w:val="left" w:pos="540"/>
        </w:tabs>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3、利润点确定后，使用公司的格式合同对外签订合同；管理公章的人员根据授权人员签字在格式合同上盖章；</w:t>
      </w:r>
    </w:p>
    <w:p>
      <w:pPr>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4、如供货商在利润点确定后，需对公司格式合同修改，签订合同前需报主管副总及总经理批准；</w:t>
      </w:r>
    </w:p>
    <w:p>
      <w:pPr>
        <w:tabs>
          <w:tab w:val="left" w:pos="540"/>
          <w:tab w:val="left" w:pos="1080"/>
        </w:tabs>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5、如供货商在利润点确定后，需另行起草合同，签订合同前应先交律师事务所审定，再交主管副总及总经理批准；</w:t>
      </w:r>
    </w:p>
    <w:p>
      <w:pPr>
        <w:spacing w:line="360" w:lineRule="auto"/>
        <w:ind w:firstLine="410" w:firstLineChars="171"/>
        <w:rPr>
          <w:rFonts w:hint="eastAsia" w:ascii="宋体" w:hAnsi="宋体"/>
          <w:b/>
          <w:bCs/>
          <w:color w:val="000000"/>
          <w:sz w:val="24"/>
          <w:szCs w:val="24"/>
        </w:rPr>
      </w:pPr>
      <w:r>
        <w:rPr>
          <w:rFonts w:hint="eastAsia" w:ascii="宋体" w:hAnsi="宋体"/>
          <w:color w:val="000000"/>
          <w:sz w:val="24"/>
          <w:szCs w:val="24"/>
        </w:rPr>
        <w:t>（二）</w:t>
      </w:r>
      <w:r>
        <w:rPr>
          <w:rFonts w:hint="eastAsia" w:ascii="宋体" w:hAnsi="宋体"/>
          <w:b/>
          <w:bCs/>
          <w:color w:val="000000"/>
          <w:sz w:val="24"/>
          <w:szCs w:val="24"/>
        </w:rPr>
        <w:t>市场行销部门</w:t>
      </w:r>
    </w:p>
    <w:p>
      <w:pPr>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1、合同标的较大、合作时间较长、比较重要的合同，先交律师事务所审核，再回到市场行销部门，最终由主管副总及总经理定稿；</w:t>
      </w:r>
    </w:p>
    <w:p>
      <w:pPr>
        <w:tabs>
          <w:tab w:val="left" w:pos="1260"/>
        </w:tabs>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2、其他合同由市场行销部门自行订立，主管副总审核，总经理审批；</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（三）</w:t>
      </w:r>
      <w:r>
        <w:rPr>
          <w:rFonts w:hint="eastAsia" w:ascii="宋体" w:hAnsi="宋体"/>
          <w:b/>
          <w:bCs/>
          <w:color w:val="000000"/>
          <w:sz w:val="24"/>
          <w:szCs w:val="24"/>
        </w:rPr>
        <w:t>人力资源部</w:t>
      </w:r>
    </w:p>
    <w:p>
      <w:pPr>
        <w:tabs>
          <w:tab w:val="left" w:pos="1260"/>
        </w:tabs>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1、经理级以下一般的劳动合同由人力资源部经理按照格式合同直接和员工签订；</w:t>
      </w:r>
    </w:p>
    <w:p>
      <w:pPr>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2、经理级以上聘任合同由主管副总或总经理亲自签订以表重视；</w:t>
      </w:r>
    </w:p>
    <w:p>
      <w:pPr>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3、不使用格式合同的特殊劳务合同，由人力资源部经理交律师事务所审核之后，主管副总审核，总经理审批再行签订；</w:t>
      </w:r>
    </w:p>
    <w:p>
      <w:pPr>
        <w:spacing w:line="360" w:lineRule="auto"/>
        <w:ind w:firstLine="410" w:firstLineChars="171"/>
        <w:rPr>
          <w:rFonts w:hint="eastAsia" w:ascii="宋体" w:hAnsi="宋体"/>
          <w:b/>
          <w:bCs/>
          <w:color w:val="000000"/>
          <w:sz w:val="24"/>
          <w:szCs w:val="24"/>
        </w:rPr>
      </w:pPr>
      <w:r>
        <w:rPr>
          <w:rFonts w:hint="eastAsia" w:ascii="宋体" w:hAnsi="宋体"/>
          <w:color w:val="000000"/>
          <w:sz w:val="24"/>
          <w:szCs w:val="24"/>
        </w:rPr>
        <w:t>（四）</w:t>
      </w:r>
      <w:r>
        <w:rPr>
          <w:rFonts w:hint="eastAsia" w:ascii="宋体" w:hAnsi="宋体"/>
          <w:b/>
          <w:bCs/>
          <w:color w:val="000000"/>
          <w:sz w:val="24"/>
          <w:szCs w:val="24"/>
        </w:rPr>
        <w:t>其他类别的合同</w:t>
      </w:r>
    </w:p>
    <w:p>
      <w:pPr>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1、先由相关人员送律师事务所审核，审核后交授权人员审批；</w:t>
      </w:r>
    </w:p>
    <w:p>
      <w:pPr>
        <w:spacing w:line="360" w:lineRule="auto"/>
        <w:ind w:firstLine="360" w:firstLineChars="150"/>
        <w:rPr>
          <w:rFonts w:hint="eastAsia" w:ascii="宋体" w:hAnsi="宋体"/>
          <w:color w:val="000000"/>
          <w:sz w:val="24"/>
          <w:szCs w:val="24"/>
        </w:rPr>
      </w:pPr>
      <w:r>
        <w:rPr>
          <w:rFonts w:hint="eastAsia" w:ascii="宋体" w:hAnsi="宋体"/>
          <w:bCs/>
          <w:color w:val="000000"/>
          <w:sz w:val="24"/>
          <w:szCs w:val="24"/>
        </w:rPr>
        <w:t>2、公司聘请兼职（专职）法律顾问处理合同及与法律相关事务。</w:t>
      </w:r>
    </w:p>
    <w:p>
      <w:pPr>
        <w:tabs>
          <w:tab w:val="left" w:pos="900"/>
        </w:tabs>
        <w:spacing w:line="360" w:lineRule="auto"/>
        <w:rPr>
          <w:rFonts w:hint="eastAsia" w:ascii="宋体" w:hAnsi="宋体"/>
          <w:b/>
          <w:bCs/>
          <w:color w:val="000000"/>
          <w:sz w:val="24"/>
          <w:szCs w:val="24"/>
        </w:rPr>
      </w:pPr>
      <w:r>
        <w:rPr>
          <w:rFonts w:hint="eastAsia" w:ascii="宋体" w:hAnsi="宋体"/>
          <w:b/>
          <w:bCs/>
          <w:color w:val="000000"/>
          <w:sz w:val="24"/>
          <w:szCs w:val="24"/>
        </w:rPr>
        <w:t>三、合同履行</w:t>
      </w:r>
    </w:p>
    <w:p>
      <w:pPr>
        <w:spacing w:line="360" w:lineRule="auto"/>
        <w:rPr>
          <w:rFonts w:hint="eastAsia" w:ascii="宋体" w:hAnsi="宋体"/>
          <w:b/>
          <w:bCs/>
          <w:color w:val="000000"/>
          <w:sz w:val="24"/>
          <w:szCs w:val="24"/>
        </w:rPr>
      </w:pPr>
      <w:r>
        <w:rPr>
          <w:rFonts w:hint="eastAsia" w:ascii="宋体" w:hAnsi="宋体"/>
          <w:color w:val="000000"/>
          <w:sz w:val="24"/>
          <w:szCs w:val="24"/>
        </w:rPr>
        <w:t>（一）</w:t>
      </w:r>
      <w:r>
        <w:rPr>
          <w:rFonts w:hint="eastAsia" w:ascii="宋体" w:hAnsi="宋体"/>
          <w:b/>
          <w:bCs/>
          <w:color w:val="000000"/>
          <w:sz w:val="24"/>
          <w:szCs w:val="24"/>
        </w:rPr>
        <w:t>合同履行</w:t>
      </w:r>
    </w:p>
    <w:p>
      <w:pPr>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1、财务部根据签订的合同制订合同履行情况考核表格（对方与自己应履行的义务分别应列出，并指定相应的负责人），发给相关执行部门的经理考评；</w:t>
      </w:r>
    </w:p>
    <w:p>
      <w:pPr>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2、供货商“付款审批单”给总监及主管副总审批时，应附上相关“供货商考核表”，须包括“合同回返情况”一栏。</w:t>
      </w:r>
    </w:p>
    <w:p>
      <w:pPr>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3、各相关部门经理应建立“合同备忘录”，在合同到期之前，财务部应及时提醒主管副总及总经理与对方续签合同；</w:t>
      </w:r>
    </w:p>
    <w:p>
      <w:pPr>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4、非正常履行合同时：</w:t>
      </w:r>
    </w:p>
    <w:p>
      <w:pPr>
        <w:tabs>
          <w:tab w:val="left" w:pos="900"/>
        </w:tabs>
        <w:spacing w:line="360" w:lineRule="auto"/>
        <w:ind w:firstLine="118" w:firstLineChars="49"/>
        <w:rPr>
          <w:rFonts w:hint="eastAsia" w:ascii="宋体" w:hAnsi="宋体"/>
          <w:b/>
          <w:bCs/>
          <w:color w:val="000000"/>
          <w:sz w:val="24"/>
          <w:szCs w:val="24"/>
        </w:rPr>
      </w:pPr>
      <w:r>
        <w:rPr>
          <w:rFonts w:hint="eastAsia" w:ascii="宋体" w:hAnsi="宋体"/>
          <w:b/>
          <w:bCs/>
          <w:color w:val="000000"/>
          <w:sz w:val="24"/>
          <w:szCs w:val="24"/>
        </w:rPr>
        <w:t>（二）解决原则</w:t>
      </w:r>
    </w:p>
    <w:p>
      <w:pPr>
        <w:tabs>
          <w:tab w:val="left" w:pos="900"/>
        </w:tabs>
        <w:spacing w:line="360" w:lineRule="auto"/>
        <w:ind w:firstLine="720" w:firstLineChars="300"/>
        <w:rPr>
          <w:rFonts w:hint="eastAsia" w:ascii="宋体" w:hAnsi="宋体"/>
          <w:color w:val="000000"/>
          <w:sz w:val="24"/>
          <w:szCs w:val="24"/>
        </w:rPr>
      </w:pPr>
      <w:r>
        <w:rPr>
          <w:rFonts w:hint="eastAsia" w:ascii="宋体" w:hAnsi="宋体"/>
          <w:color w:val="000000"/>
          <w:sz w:val="24"/>
          <w:szCs w:val="24"/>
        </w:rPr>
        <w:t>先与对方协商解决方案，如协商不成及时通知总经理与法律顾问解决。</w:t>
      </w:r>
    </w:p>
    <w:p>
      <w:pPr>
        <w:tabs>
          <w:tab w:val="left" w:pos="900"/>
        </w:tabs>
        <w:spacing w:line="360" w:lineRule="auto"/>
        <w:ind w:firstLine="120" w:firstLineChars="50"/>
        <w:rPr>
          <w:rFonts w:hint="eastAsia" w:ascii="宋体" w:hAnsi="宋体"/>
          <w:color w:val="000000"/>
          <w:sz w:val="24"/>
          <w:szCs w:val="24"/>
        </w:rPr>
      </w:pPr>
      <w:r>
        <w:rPr>
          <w:rFonts w:hint="eastAsia" w:ascii="宋体" w:hAnsi="宋体"/>
          <w:color w:val="000000"/>
          <w:sz w:val="24"/>
          <w:szCs w:val="24"/>
        </w:rPr>
        <w:t>（三）</w:t>
      </w:r>
      <w:r>
        <w:rPr>
          <w:rFonts w:hint="eastAsia" w:ascii="宋体" w:hAnsi="宋体"/>
          <w:b/>
          <w:bCs/>
          <w:color w:val="000000"/>
          <w:sz w:val="24"/>
          <w:szCs w:val="24"/>
        </w:rPr>
        <w:t>解决方式</w:t>
      </w:r>
    </w:p>
    <w:p>
      <w:pPr>
        <w:tabs>
          <w:tab w:val="left" w:pos="1680"/>
        </w:tabs>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1、对方违约，先电话通知对方履行，如对方仍不履行合同或重要的合同，应用书面形式（加盖公司公章）通知对方；</w:t>
      </w:r>
    </w:p>
    <w:p>
      <w:pPr>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2、对方出现难以继续履行合同的情形时应及时通知主管副总及总经理；</w:t>
      </w:r>
    </w:p>
    <w:p>
      <w:pPr>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3、对方经多次催告，仍不履行合同，如有必要提起诉讼，提交律师事务所解决；</w:t>
      </w:r>
    </w:p>
    <w:p>
      <w:pPr>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4、对方严重违约，又不存在对方欠公司款项的情况下，可运用合同条款解除与对方的合同，但必须应用书面形式（加盖公司公章）通知对方；</w:t>
      </w:r>
    </w:p>
    <w:p>
      <w:pPr>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5、各部门按月或季度对合同履行情况汇总；包括发现合同中应完善的条款应及时通知主管副总及总经理；</w:t>
      </w:r>
    </w:p>
    <w:p>
      <w:pPr>
        <w:tabs>
          <w:tab w:val="left" w:pos="900"/>
        </w:tabs>
        <w:spacing w:line="360" w:lineRule="auto"/>
        <w:rPr>
          <w:rFonts w:hint="eastAsia" w:ascii="宋体" w:hAnsi="宋体"/>
          <w:b/>
          <w:bCs/>
          <w:color w:val="000000"/>
          <w:sz w:val="24"/>
          <w:szCs w:val="24"/>
        </w:rPr>
      </w:pPr>
      <w:r>
        <w:rPr>
          <w:rFonts w:hint="eastAsia" w:ascii="宋体" w:hAnsi="宋体"/>
          <w:b/>
          <w:bCs/>
          <w:color w:val="000000"/>
          <w:sz w:val="24"/>
          <w:szCs w:val="24"/>
        </w:rPr>
        <w:t>四、合同的保管</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合同签订后，劳务合同由人力资源部保管存档，其它所有合同原件由财务部门编号存档，公司档案室存档复印件；若有两份原件，另一份原件交公司档案室存档，非经总监级以上人员批准不得外借或复印。</w:t>
      </w:r>
    </w:p>
    <w:p>
      <w:pPr>
        <w:spacing w:line="360" w:lineRule="auto"/>
        <w:rPr>
          <w:rFonts w:hint="eastAsia" w:ascii="宋体" w:hAnsi="宋体"/>
          <w:b/>
          <w:bCs/>
          <w:color w:val="000000"/>
          <w:sz w:val="24"/>
          <w:szCs w:val="24"/>
        </w:rPr>
      </w:pPr>
      <w:r>
        <w:rPr>
          <w:rFonts w:hint="eastAsia" w:ascii="宋体" w:hAnsi="宋体"/>
          <w:b/>
          <w:bCs/>
          <w:color w:val="000000"/>
          <w:sz w:val="24"/>
          <w:szCs w:val="24"/>
        </w:rPr>
        <w:t>五、公章的管理</w:t>
      </w:r>
    </w:p>
    <w:p>
      <w:pPr>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1、“总经理办公室”公章由人力资源部经理保管，做为公司内部行文使用；</w:t>
      </w:r>
    </w:p>
    <w:p>
      <w:pPr>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2、“公司印章”由财务经理保管；</w:t>
      </w:r>
    </w:p>
    <w:p>
      <w:pPr>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3、“合同专用章”由财务经理保管；</w:t>
      </w:r>
    </w:p>
    <w:p>
      <w:pPr>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4、“财务专用章”由财务经理保管；</w:t>
      </w:r>
    </w:p>
    <w:p>
      <w:pPr>
        <w:tabs>
          <w:tab w:val="left" w:pos="1260"/>
        </w:tabs>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5、员工劳务合同应加盖“公章＋总经理私人印章或签名”；</w:t>
      </w:r>
    </w:p>
    <w:p>
      <w:pPr>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6、其它合同盖“合同专用章＋主管副总或总经理签名”；</w:t>
      </w:r>
    </w:p>
    <w:p>
      <w:pPr>
        <w:spacing w:line="360" w:lineRule="auto"/>
        <w:ind w:firstLine="360" w:firstLineChars="150"/>
        <w:rPr>
          <w:rFonts w:hint="eastAsia" w:ascii="宋体" w:hAnsi="宋体"/>
          <w:color w:val="000000"/>
          <w:sz w:val="24"/>
          <w:szCs w:val="24"/>
        </w:rPr>
      </w:pPr>
      <w:r>
        <w:rPr>
          <w:rFonts w:hint="eastAsia" w:ascii="宋体" w:hAnsi="宋体"/>
          <w:color w:val="000000"/>
          <w:sz w:val="24"/>
          <w:szCs w:val="24"/>
        </w:rPr>
        <w:t>7、公章保管人建立“印鉴管理表”（附后），每次印鉴使用均应严格记录；</w:t>
      </w:r>
    </w:p>
    <w:p>
      <w:pPr>
        <w:pStyle w:val="2"/>
        <w:rPr>
          <w:rFonts w:hint="eastAsia"/>
          <w:color w:val="000000"/>
          <w:szCs w:val="24"/>
        </w:rPr>
      </w:pPr>
      <w:r>
        <w:rPr>
          <w:rFonts w:hint="eastAsia"/>
          <w:color w:val="000000"/>
          <w:szCs w:val="24"/>
        </w:rPr>
        <w:t>对于合同专用章，只要授权人员在合同上审批签字了，则无需在“印鉴管理表”上再签字，管理公章人员应把审批人员的名字填在表上；</w:t>
      </w:r>
    </w:p>
    <w:p>
      <w:pPr>
        <w:jc w:val="center"/>
        <w:rPr>
          <w:rFonts w:hint="eastAsia" w:ascii="仿宋_GB2312" w:eastAsia="仿宋_GB2312"/>
          <w:b/>
          <w:color w:val="000000"/>
          <w:sz w:val="28"/>
          <w:szCs w:val="28"/>
        </w:rPr>
      </w:pPr>
    </w:p>
    <w:p>
      <w:pPr>
        <w:widowControl/>
        <w:jc w:val="center"/>
        <w:rPr>
          <w:rFonts w:hint="eastAsia" w:ascii="仿宋_GB2312" w:hAnsi="新宋体" w:eastAsia="仿宋_GB2312"/>
          <w:b/>
          <w:color w:val="000000"/>
          <w:w w:val="90"/>
          <w:sz w:val="30"/>
          <w:szCs w:val="30"/>
        </w:rPr>
      </w:pPr>
    </w:p>
    <w:p>
      <w:pPr>
        <w:widowControl/>
        <w:jc w:val="center"/>
        <w:rPr>
          <w:rFonts w:hint="eastAsia" w:ascii="仿宋_GB2312" w:hAnsi="新宋体" w:eastAsia="仿宋_GB2312"/>
          <w:b/>
          <w:color w:val="000000"/>
          <w:w w:val="90"/>
          <w:sz w:val="30"/>
          <w:szCs w:val="30"/>
        </w:rPr>
      </w:pPr>
    </w:p>
    <w:p>
      <w:pPr>
        <w:widowControl/>
        <w:jc w:val="center"/>
        <w:rPr>
          <w:rFonts w:hint="eastAsia" w:ascii="仿宋_GB2312" w:hAnsi="新宋体" w:eastAsia="仿宋_GB2312"/>
          <w:b/>
          <w:color w:val="000000"/>
          <w:w w:val="90"/>
          <w:sz w:val="30"/>
          <w:szCs w:val="30"/>
        </w:rPr>
      </w:pPr>
      <w:bookmarkStart w:id="0" w:name="_GoBack"/>
      <w:bookmarkEnd w:id="0"/>
      <w:r>
        <w:rPr>
          <w:rFonts w:hint="eastAsia" w:ascii="仿宋_GB2312" w:hAnsi="新宋体" w:eastAsia="仿宋_GB2312"/>
          <w:b/>
          <w:color w:val="000000"/>
          <w:w w:val="90"/>
          <w:sz w:val="30"/>
          <w:szCs w:val="30"/>
        </w:rPr>
        <w:t>合同审批（评审）表</w:t>
      </w:r>
    </w:p>
    <w:tbl>
      <w:tblPr>
        <w:tblStyle w:val="4"/>
        <w:tblW w:w="0" w:type="auto"/>
        <w:tblInd w:w="0" w:type="dxa"/>
        <w:tblLayout w:type="fixed"/>
        <w:tblCellMar>
          <w:top w:w="0" w:type="dxa"/>
          <w:left w:w="108" w:type="dxa"/>
          <w:bottom w:w="0" w:type="dxa"/>
          <w:right w:w="108" w:type="dxa"/>
        </w:tblCellMar>
      </w:tblPr>
      <w:tblGrid>
        <w:gridCol w:w="1420"/>
        <w:gridCol w:w="1420"/>
        <w:gridCol w:w="1420"/>
        <w:gridCol w:w="1420"/>
        <w:gridCol w:w="1421"/>
        <w:gridCol w:w="1421"/>
      </w:tblGrid>
      <w:tr>
        <w:tblPrEx>
          <w:tblCellMar>
            <w:top w:w="0" w:type="dxa"/>
            <w:left w:w="108" w:type="dxa"/>
            <w:bottom w:w="0" w:type="dxa"/>
            <w:right w:w="108" w:type="dxa"/>
          </w:tblCellMar>
        </w:tblPrEx>
        <w:tc>
          <w:tcPr>
            <w:tcW w:w="1420" w:type="dxa"/>
            <w:noWrap w:val="0"/>
            <w:vAlign w:val="top"/>
          </w:tcPr>
          <w:p>
            <w:pPr>
              <w:widowControl/>
              <w:jc w:val="left"/>
              <w:rPr>
                <w:rFonts w:hint="eastAsia" w:ascii="仿宋_GB2312" w:eastAsia="仿宋_GB2312"/>
                <w:color w:val="000000"/>
                <w:sz w:val="28"/>
                <w:szCs w:val="28"/>
              </w:rPr>
            </w:pPr>
            <w:r>
              <w:rPr>
                <w:rFonts w:hint="eastAsia" w:ascii="仿宋_GB2312" w:eastAsia="仿宋_GB2312"/>
                <w:color w:val="000000"/>
                <w:sz w:val="28"/>
                <w:szCs w:val="28"/>
              </w:rPr>
              <w:t>合同名称</w:t>
            </w:r>
          </w:p>
        </w:tc>
        <w:tc>
          <w:tcPr>
            <w:tcW w:w="7102" w:type="dxa"/>
            <w:gridSpan w:val="5"/>
            <w:noWrap w:val="0"/>
            <w:vAlign w:val="top"/>
          </w:tcPr>
          <w:p>
            <w:pPr>
              <w:widowControl/>
              <w:jc w:val="left"/>
              <w:rPr>
                <w:rFonts w:hint="eastAsia" w:ascii="仿宋_GB2312" w:eastAsia="仿宋_GB2312"/>
                <w:color w:val="000000"/>
                <w:sz w:val="28"/>
                <w:szCs w:val="28"/>
              </w:rPr>
            </w:pPr>
          </w:p>
        </w:tc>
      </w:tr>
      <w:tr>
        <w:tblPrEx>
          <w:tblCellMar>
            <w:top w:w="0" w:type="dxa"/>
            <w:left w:w="108" w:type="dxa"/>
            <w:bottom w:w="0" w:type="dxa"/>
            <w:right w:w="108" w:type="dxa"/>
          </w:tblCellMar>
        </w:tblPrEx>
        <w:tc>
          <w:tcPr>
            <w:tcW w:w="1420" w:type="dxa"/>
            <w:noWrap w:val="0"/>
            <w:vAlign w:val="top"/>
          </w:tcPr>
          <w:p>
            <w:pPr>
              <w:widowControl/>
              <w:jc w:val="left"/>
              <w:rPr>
                <w:rFonts w:hint="eastAsia" w:ascii="仿宋_GB2312" w:eastAsia="仿宋_GB2312"/>
                <w:color w:val="000000"/>
                <w:sz w:val="28"/>
                <w:szCs w:val="28"/>
              </w:rPr>
            </w:pPr>
            <w:r>
              <w:rPr>
                <w:rFonts w:hint="eastAsia" w:ascii="仿宋_GB2312" w:eastAsia="仿宋_GB2312"/>
                <w:color w:val="000000"/>
                <w:sz w:val="28"/>
                <w:szCs w:val="28"/>
              </w:rPr>
              <w:t>合同编号</w:t>
            </w:r>
          </w:p>
        </w:tc>
        <w:tc>
          <w:tcPr>
            <w:tcW w:w="2840" w:type="dxa"/>
            <w:gridSpan w:val="2"/>
            <w:noWrap w:val="0"/>
            <w:vAlign w:val="top"/>
          </w:tcPr>
          <w:p>
            <w:pPr>
              <w:widowControl/>
              <w:jc w:val="left"/>
              <w:rPr>
                <w:rFonts w:hint="eastAsia" w:ascii="仿宋_GB2312" w:eastAsia="仿宋_GB2312"/>
                <w:color w:val="000000"/>
                <w:sz w:val="28"/>
                <w:szCs w:val="28"/>
              </w:rPr>
            </w:pPr>
          </w:p>
        </w:tc>
        <w:tc>
          <w:tcPr>
            <w:tcW w:w="1420" w:type="dxa"/>
            <w:noWrap w:val="0"/>
            <w:vAlign w:val="top"/>
          </w:tcPr>
          <w:p>
            <w:pPr>
              <w:widowControl/>
              <w:jc w:val="left"/>
              <w:rPr>
                <w:rFonts w:hint="eastAsia" w:ascii="仿宋_GB2312" w:eastAsia="仿宋_GB2312"/>
                <w:color w:val="000000"/>
                <w:sz w:val="28"/>
                <w:szCs w:val="28"/>
              </w:rPr>
            </w:pPr>
            <w:r>
              <w:rPr>
                <w:rFonts w:hint="eastAsia" w:ascii="仿宋_GB2312" w:eastAsia="仿宋_GB2312"/>
                <w:color w:val="000000"/>
                <w:sz w:val="28"/>
                <w:szCs w:val="28"/>
              </w:rPr>
              <w:t>合同金额</w:t>
            </w:r>
          </w:p>
        </w:tc>
        <w:tc>
          <w:tcPr>
            <w:tcW w:w="2842" w:type="dxa"/>
            <w:gridSpan w:val="2"/>
            <w:noWrap w:val="0"/>
            <w:vAlign w:val="top"/>
          </w:tcPr>
          <w:p>
            <w:pPr>
              <w:widowControl/>
              <w:jc w:val="left"/>
              <w:rPr>
                <w:rFonts w:hint="eastAsia" w:ascii="仿宋_GB2312" w:eastAsia="仿宋_GB2312"/>
                <w:color w:val="000000"/>
                <w:sz w:val="28"/>
                <w:szCs w:val="28"/>
              </w:rPr>
            </w:pPr>
          </w:p>
        </w:tc>
      </w:tr>
      <w:tr>
        <w:tblPrEx>
          <w:tblCellMar>
            <w:top w:w="0" w:type="dxa"/>
            <w:left w:w="108" w:type="dxa"/>
            <w:bottom w:w="0" w:type="dxa"/>
            <w:right w:w="108" w:type="dxa"/>
          </w:tblCellMar>
        </w:tblPrEx>
        <w:tc>
          <w:tcPr>
            <w:tcW w:w="1420" w:type="dxa"/>
            <w:noWrap w:val="0"/>
            <w:vAlign w:val="top"/>
          </w:tcPr>
          <w:p>
            <w:pPr>
              <w:widowControl/>
              <w:jc w:val="left"/>
              <w:rPr>
                <w:rFonts w:hint="eastAsia" w:ascii="仿宋_GB2312" w:eastAsia="仿宋_GB2312"/>
                <w:color w:val="000000"/>
                <w:sz w:val="28"/>
                <w:szCs w:val="28"/>
              </w:rPr>
            </w:pPr>
            <w:r>
              <w:rPr>
                <w:rFonts w:hint="eastAsia" w:ascii="仿宋_GB2312" w:eastAsia="仿宋_GB2312"/>
                <w:color w:val="000000"/>
                <w:sz w:val="28"/>
                <w:szCs w:val="28"/>
              </w:rPr>
              <w:t>组评部门</w:t>
            </w:r>
          </w:p>
        </w:tc>
        <w:tc>
          <w:tcPr>
            <w:tcW w:w="1420" w:type="dxa"/>
            <w:noWrap w:val="0"/>
            <w:vAlign w:val="top"/>
          </w:tcPr>
          <w:p>
            <w:pPr>
              <w:widowControl/>
              <w:jc w:val="left"/>
              <w:rPr>
                <w:rFonts w:hint="eastAsia" w:ascii="仿宋_GB2312" w:eastAsia="仿宋_GB2312"/>
                <w:color w:val="000000"/>
                <w:sz w:val="28"/>
                <w:szCs w:val="28"/>
              </w:rPr>
            </w:pPr>
          </w:p>
        </w:tc>
        <w:tc>
          <w:tcPr>
            <w:tcW w:w="1420" w:type="dxa"/>
            <w:noWrap w:val="0"/>
            <w:vAlign w:val="top"/>
          </w:tcPr>
          <w:p>
            <w:pPr>
              <w:widowControl/>
              <w:jc w:val="left"/>
              <w:rPr>
                <w:rFonts w:hint="eastAsia" w:ascii="仿宋_GB2312" w:eastAsia="仿宋_GB2312"/>
                <w:color w:val="000000"/>
                <w:sz w:val="28"/>
                <w:szCs w:val="28"/>
              </w:rPr>
            </w:pPr>
            <w:r>
              <w:rPr>
                <w:rFonts w:hint="eastAsia" w:ascii="仿宋_GB2312" w:eastAsia="仿宋_GB2312"/>
                <w:color w:val="000000"/>
                <w:sz w:val="28"/>
                <w:szCs w:val="28"/>
              </w:rPr>
              <w:t>组评人</w:t>
            </w:r>
          </w:p>
        </w:tc>
        <w:tc>
          <w:tcPr>
            <w:tcW w:w="1420" w:type="dxa"/>
            <w:noWrap w:val="0"/>
            <w:vAlign w:val="top"/>
          </w:tcPr>
          <w:p>
            <w:pPr>
              <w:widowControl/>
              <w:jc w:val="left"/>
              <w:rPr>
                <w:rFonts w:hint="eastAsia" w:ascii="仿宋_GB2312" w:eastAsia="仿宋_GB2312"/>
                <w:color w:val="000000"/>
                <w:sz w:val="28"/>
                <w:szCs w:val="28"/>
              </w:rPr>
            </w:pPr>
          </w:p>
        </w:tc>
        <w:tc>
          <w:tcPr>
            <w:tcW w:w="1421" w:type="dxa"/>
            <w:noWrap w:val="0"/>
            <w:vAlign w:val="top"/>
          </w:tcPr>
          <w:p>
            <w:pPr>
              <w:widowControl/>
              <w:jc w:val="left"/>
              <w:rPr>
                <w:rFonts w:hint="eastAsia" w:ascii="仿宋_GB2312" w:eastAsia="仿宋_GB2312"/>
                <w:color w:val="000000"/>
                <w:sz w:val="28"/>
                <w:szCs w:val="28"/>
              </w:rPr>
            </w:pPr>
            <w:r>
              <w:rPr>
                <w:rFonts w:hint="eastAsia" w:ascii="仿宋_GB2312" w:eastAsia="仿宋_GB2312"/>
                <w:color w:val="000000"/>
                <w:sz w:val="28"/>
                <w:szCs w:val="28"/>
              </w:rPr>
              <w:t>组评日期</w:t>
            </w:r>
          </w:p>
        </w:tc>
        <w:tc>
          <w:tcPr>
            <w:tcW w:w="1421" w:type="dxa"/>
            <w:noWrap w:val="0"/>
            <w:vAlign w:val="top"/>
          </w:tcPr>
          <w:p>
            <w:pPr>
              <w:widowControl/>
              <w:jc w:val="left"/>
              <w:rPr>
                <w:rFonts w:hint="eastAsia" w:ascii="仿宋_GB2312" w:eastAsia="仿宋_GB2312"/>
                <w:color w:val="000000"/>
                <w:sz w:val="28"/>
                <w:szCs w:val="28"/>
              </w:rPr>
            </w:pPr>
          </w:p>
        </w:tc>
      </w:tr>
      <w:tr>
        <w:tblPrEx>
          <w:tblCellMar>
            <w:top w:w="0" w:type="dxa"/>
            <w:left w:w="108" w:type="dxa"/>
            <w:bottom w:w="0" w:type="dxa"/>
            <w:right w:w="108" w:type="dxa"/>
          </w:tblCellMar>
        </w:tblPrEx>
        <w:tc>
          <w:tcPr>
            <w:tcW w:w="1420" w:type="dxa"/>
            <w:noWrap w:val="0"/>
            <w:vAlign w:val="top"/>
          </w:tcPr>
          <w:p>
            <w:pPr>
              <w:widowControl/>
              <w:jc w:val="left"/>
              <w:rPr>
                <w:rFonts w:hint="eastAsia" w:ascii="仿宋_GB2312" w:eastAsia="仿宋_GB2312"/>
                <w:color w:val="000000"/>
                <w:sz w:val="28"/>
                <w:szCs w:val="28"/>
              </w:rPr>
            </w:pPr>
            <w:r>
              <w:rPr>
                <w:rFonts w:hint="eastAsia" w:ascii="仿宋_GB2312" w:eastAsia="仿宋_GB2312"/>
                <w:color w:val="000000"/>
                <w:sz w:val="28"/>
                <w:szCs w:val="28"/>
              </w:rPr>
              <w:t>参评部门</w:t>
            </w:r>
          </w:p>
        </w:tc>
        <w:tc>
          <w:tcPr>
            <w:tcW w:w="7102" w:type="dxa"/>
            <w:gridSpan w:val="5"/>
            <w:noWrap w:val="0"/>
            <w:vAlign w:val="top"/>
          </w:tcPr>
          <w:p>
            <w:pPr>
              <w:widowControl/>
              <w:jc w:val="left"/>
              <w:rPr>
                <w:rFonts w:hint="eastAsia" w:ascii="仿宋_GB2312" w:eastAsia="仿宋_GB2312"/>
                <w:color w:val="000000"/>
                <w:sz w:val="28"/>
                <w:szCs w:val="28"/>
              </w:rPr>
            </w:pPr>
          </w:p>
        </w:tc>
      </w:tr>
      <w:tr>
        <w:tblPrEx>
          <w:tblCellMar>
            <w:top w:w="0" w:type="dxa"/>
            <w:left w:w="108" w:type="dxa"/>
            <w:bottom w:w="0" w:type="dxa"/>
            <w:right w:w="108" w:type="dxa"/>
          </w:tblCellMar>
        </w:tblPrEx>
        <w:trPr>
          <w:trHeight w:val="1534" w:hRule="exact"/>
        </w:trPr>
        <w:tc>
          <w:tcPr>
            <w:tcW w:w="1420" w:type="dxa"/>
            <w:vMerge w:val="restart"/>
            <w:noWrap w:val="0"/>
            <w:vAlign w:val="center"/>
          </w:tcPr>
          <w:p>
            <w:pPr>
              <w:widowControl/>
              <w:rPr>
                <w:rFonts w:hint="eastAsia" w:ascii="仿宋_GB2312" w:eastAsia="仿宋_GB2312"/>
                <w:color w:val="000000"/>
                <w:sz w:val="28"/>
                <w:szCs w:val="28"/>
              </w:rPr>
            </w:pPr>
            <w:r>
              <w:rPr>
                <w:rFonts w:hint="eastAsia" w:ascii="仿宋_GB2312" w:eastAsia="仿宋_GB2312"/>
                <w:color w:val="000000"/>
                <w:sz w:val="28"/>
                <w:szCs w:val="28"/>
              </w:rPr>
              <w:t>参</w:t>
            </w:r>
          </w:p>
          <w:p>
            <w:pPr>
              <w:widowControl/>
              <w:rPr>
                <w:rFonts w:hint="eastAsia" w:ascii="仿宋_GB2312" w:eastAsia="仿宋_GB2312"/>
                <w:color w:val="000000"/>
                <w:sz w:val="28"/>
                <w:szCs w:val="28"/>
              </w:rPr>
            </w:pPr>
            <w:r>
              <w:rPr>
                <w:rFonts w:hint="eastAsia" w:ascii="仿宋_GB2312" w:eastAsia="仿宋_GB2312"/>
                <w:color w:val="000000"/>
                <w:sz w:val="28"/>
                <w:szCs w:val="28"/>
              </w:rPr>
              <w:t>评</w:t>
            </w:r>
          </w:p>
          <w:p>
            <w:pPr>
              <w:widowControl/>
              <w:rPr>
                <w:rFonts w:hint="eastAsia" w:ascii="仿宋_GB2312" w:eastAsia="仿宋_GB2312"/>
                <w:color w:val="000000"/>
                <w:sz w:val="28"/>
                <w:szCs w:val="28"/>
              </w:rPr>
            </w:pPr>
            <w:r>
              <w:rPr>
                <w:rFonts w:hint="eastAsia" w:ascii="仿宋_GB2312" w:eastAsia="仿宋_GB2312"/>
                <w:color w:val="000000"/>
                <w:sz w:val="28"/>
                <w:szCs w:val="28"/>
              </w:rPr>
              <w:t>意</w:t>
            </w:r>
          </w:p>
          <w:p>
            <w:pPr>
              <w:widowControl/>
              <w:rPr>
                <w:rFonts w:hint="eastAsia" w:ascii="仿宋_GB2312" w:eastAsia="仿宋_GB2312"/>
                <w:color w:val="000000"/>
                <w:sz w:val="28"/>
                <w:szCs w:val="28"/>
              </w:rPr>
            </w:pPr>
            <w:r>
              <w:rPr>
                <w:rFonts w:hint="eastAsia" w:ascii="仿宋_GB2312" w:eastAsia="仿宋_GB2312"/>
                <w:color w:val="000000"/>
                <w:sz w:val="28"/>
                <w:szCs w:val="28"/>
              </w:rPr>
              <w:t>见</w:t>
            </w:r>
          </w:p>
        </w:tc>
        <w:tc>
          <w:tcPr>
            <w:tcW w:w="7102" w:type="dxa"/>
            <w:gridSpan w:val="5"/>
            <w:noWrap w:val="0"/>
            <w:vAlign w:val="bottom"/>
          </w:tcPr>
          <w:p>
            <w:pPr>
              <w:widowControl/>
              <w:tabs>
                <w:tab w:val="left" w:pos="2139"/>
              </w:tabs>
              <w:ind w:right="420" w:firstLine="1080" w:firstLineChars="450"/>
              <w:rPr>
                <w:rFonts w:hint="eastAsia" w:ascii="仿宋_GB2312" w:eastAsia="仿宋_GB2312"/>
                <w:color w:val="000000"/>
                <w:sz w:val="24"/>
              </w:rPr>
            </w:pPr>
            <w:r>
              <w:rPr>
                <w:rFonts w:hint="eastAsia" w:ascii="仿宋_GB2312" w:eastAsia="仿宋_GB2312"/>
                <w:color w:val="000000"/>
                <w:sz w:val="24"/>
              </w:rPr>
              <w:t xml:space="preserve">  参评部门/人</w:t>
            </w:r>
            <w:r>
              <w:rPr>
                <w:rFonts w:hint="eastAsia" w:ascii="仿宋_GB2312" w:eastAsia="仿宋_GB2312"/>
                <w:color w:val="000000"/>
                <w:sz w:val="24"/>
                <w:u w:val="single"/>
              </w:rPr>
              <w:t xml:space="preserve">：           </w:t>
            </w:r>
            <w:r>
              <w:rPr>
                <w:rFonts w:hint="eastAsia" w:ascii="仿宋_GB2312" w:eastAsia="仿宋_GB2312"/>
                <w:color w:val="000000"/>
                <w:sz w:val="24"/>
              </w:rPr>
              <w:t>日期</w:t>
            </w:r>
            <w:r>
              <w:rPr>
                <w:rFonts w:hint="eastAsia" w:ascii="仿宋_GB2312" w:eastAsia="仿宋_GB2312"/>
                <w:color w:val="000000"/>
                <w:sz w:val="24"/>
                <w:u w:val="single"/>
              </w:rPr>
              <w:t xml:space="preserve">：          </w:t>
            </w:r>
          </w:p>
        </w:tc>
      </w:tr>
      <w:tr>
        <w:tblPrEx>
          <w:tblCellMar>
            <w:top w:w="0" w:type="dxa"/>
            <w:left w:w="108" w:type="dxa"/>
            <w:bottom w:w="0" w:type="dxa"/>
            <w:right w:w="108" w:type="dxa"/>
          </w:tblCellMar>
        </w:tblPrEx>
        <w:trPr>
          <w:trHeight w:val="1241" w:hRule="exact"/>
        </w:trPr>
        <w:tc>
          <w:tcPr>
            <w:tcW w:w="1420" w:type="dxa"/>
            <w:vMerge w:val="continue"/>
            <w:noWrap w:val="0"/>
            <w:vAlign w:val="top"/>
          </w:tcPr>
          <w:p>
            <w:pPr>
              <w:widowControl/>
              <w:jc w:val="left"/>
              <w:rPr>
                <w:rFonts w:hint="eastAsia" w:ascii="仿宋_GB2312" w:eastAsia="仿宋_GB2312"/>
                <w:color w:val="000000"/>
                <w:sz w:val="28"/>
                <w:szCs w:val="28"/>
              </w:rPr>
            </w:pPr>
          </w:p>
        </w:tc>
        <w:tc>
          <w:tcPr>
            <w:tcW w:w="7102" w:type="dxa"/>
            <w:gridSpan w:val="5"/>
            <w:noWrap w:val="0"/>
            <w:vAlign w:val="bottom"/>
          </w:tcPr>
          <w:p>
            <w:pPr>
              <w:widowControl/>
              <w:jc w:val="right"/>
              <w:rPr>
                <w:rFonts w:hint="eastAsia" w:ascii="仿宋_GB2312" w:eastAsia="仿宋_GB2312"/>
                <w:color w:val="000000"/>
                <w:sz w:val="24"/>
              </w:rPr>
            </w:pPr>
          </w:p>
          <w:p>
            <w:pPr>
              <w:widowControl/>
              <w:jc w:val="right"/>
              <w:rPr>
                <w:rFonts w:hint="eastAsia" w:ascii="仿宋_GB2312" w:eastAsia="仿宋_GB2312"/>
                <w:color w:val="000000"/>
                <w:sz w:val="24"/>
              </w:rPr>
            </w:pPr>
          </w:p>
          <w:p>
            <w:pPr>
              <w:widowControl/>
              <w:ind w:right="420"/>
              <w:rPr>
                <w:rFonts w:hint="eastAsia" w:ascii="仿宋_GB2312" w:eastAsia="仿宋_GB2312"/>
                <w:color w:val="000000"/>
                <w:sz w:val="24"/>
              </w:rPr>
            </w:pPr>
            <w:r>
              <w:rPr>
                <w:rFonts w:hint="eastAsia" w:ascii="仿宋_GB2312" w:eastAsia="仿宋_GB2312"/>
                <w:color w:val="000000"/>
                <w:sz w:val="24"/>
              </w:rPr>
              <w:t xml:space="preserve">          参评部门/人</w:t>
            </w:r>
            <w:r>
              <w:rPr>
                <w:rFonts w:hint="eastAsia" w:ascii="仿宋_GB2312" w:eastAsia="仿宋_GB2312"/>
                <w:color w:val="000000"/>
                <w:sz w:val="24"/>
                <w:u w:val="single"/>
              </w:rPr>
              <w:t xml:space="preserve">：           </w:t>
            </w:r>
            <w:r>
              <w:rPr>
                <w:rFonts w:hint="eastAsia" w:ascii="仿宋_GB2312" w:eastAsia="仿宋_GB2312"/>
                <w:color w:val="000000"/>
                <w:sz w:val="24"/>
              </w:rPr>
              <w:t>日期</w:t>
            </w:r>
            <w:r>
              <w:rPr>
                <w:rFonts w:hint="eastAsia" w:ascii="仿宋_GB2312" w:eastAsia="仿宋_GB2312"/>
                <w:color w:val="000000"/>
                <w:sz w:val="24"/>
                <w:u w:val="single"/>
              </w:rPr>
              <w:t xml:space="preserve">：          </w:t>
            </w:r>
          </w:p>
        </w:tc>
      </w:tr>
      <w:tr>
        <w:tblPrEx>
          <w:tblCellMar>
            <w:top w:w="0" w:type="dxa"/>
            <w:left w:w="108" w:type="dxa"/>
            <w:bottom w:w="0" w:type="dxa"/>
            <w:right w:w="108" w:type="dxa"/>
          </w:tblCellMar>
        </w:tblPrEx>
        <w:trPr>
          <w:trHeight w:val="1400" w:hRule="exact"/>
        </w:trPr>
        <w:tc>
          <w:tcPr>
            <w:tcW w:w="1420" w:type="dxa"/>
            <w:vMerge w:val="continue"/>
            <w:noWrap w:val="0"/>
            <w:vAlign w:val="top"/>
          </w:tcPr>
          <w:p>
            <w:pPr>
              <w:widowControl/>
              <w:jc w:val="left"/>
              <w:rPr>
                <w:rFonts w:hint="eastAsia" w:ascii="仿宋_GB2312" w:eastAsia="仿宋_GB2312"/>
                <w:color w:val="000000"/>
                <w:sz w:val="28"/>
                <w:szCs w:val="28"/>
              </w:rPr>
            </w:pPr>
          </w:p>
        </w:tc>
        <w:tc>
          <w:tcPr>
            <w:tcW w:w="7102" w:type="dxa"/>
            <w:gridSpan w:val="5"/>
            <w:noWrap w:val="0"/>
            <w:vAlign w:val="bottom"/>
          </w:tcPr>
          <w:p>
            <w:pPr>
              <w:widowControl/>
              <w:jc w:val="right"/>
              <w:rPr>
                <w:rFonts w:hint="eastAsia" w:ascii="仿宋_GB2312" w:eastAsia="仿宋_GB2312"/>
                <w:color w:val="000000"/>
                <w:sz w:val="24"/>
              </w:rPr>
            </w:pPr>
          </w:p>
          <w:p>
            <w:pPr>
              <w:widowControl/>
              <w:ind w:right="420" w:firstLine="2040" w:firstLineChars="850"/>
              <w:rPr>
                <w:rFonts w:hint="eastAsia" w:ascii="仿宋_GB2312" w:eastAsia="仿宋_GB2312"/>
                <w:color w:val="000000"/>
                <w:sz w:val="24"/>
              </w:rPr>
            </w:pPr>
            <w:r>
              <w:rPr>
                <w:rFonts w:hint="eastAsia" w:ascii="仿宋_GB2312" w:eastAsia="仿宋_GB2312"/>
                <w:color w:val="000000"/>
                <w:sz w:val="24"/>
              </w:rPr>
              <w:t>参评部门/人</w:t>
            </w:r>
            <w:r>
              <w:rPr>
                <w:rFonts w:hint="eastAsia" w:ascii="仿宋_GB2312" w:eastAsia="仿宋_GB2312"/>
                <w:color w:val="000000"/>
                <w:sz w:val="24"/>
                <w:u w:val="single"/>
              </w:rPr>
              <w:t xml:space="preserve">：           </w:t>
            </w:r>
            <w:r>
              <w:rPr>
                <w:rFonts w:hint="eastAsia" w:ascii="仿宋_GB2312" w:eastAsia="仿宋_GB2312"/>
                <w:color w:val="000000"/>
                <w:sz w:val="24"/>
              </w:rPr>
              <w:t>日期</w:t>
            </w:r>
            <w:r>
              <w:rPr>
                <w:rFonts w:hint="eastAsia" w:ascii="仿宋_GB2312" w:eastAsia="仿宋_GB2312"/>
                <w:color w:val="000000"/>
                <w:sz w:val="24"/>
                <w:u w:val="single"/>
              </w:rPr>
              <w:t xml:space="preserve">：           </w:t>
            </w:r>
          </w:p>
        </w:tc>
      </w:tr>
      <w:tr>
        <w:tblPrEx>
          <w:tblCellMar>
            <w:top w:w="0" w:type="dxa"/>
            <w:left w:w="108" w:type="dxa"/>
            <w:bottom w:w="0" w:type="dxa"/>
            <w:right w:w="108" w:type="dxa"/>
          </w:tblCellMar>
        </w:tblPrEx>
        <w:trPr>
          <w:trHeight w:val="1403" w:hRule="exact"/>
        </w:trPr>
        <w:tc>
          <w:tcPr>
            <w:tcW w:w="1420" w:type="dxa"/>
            <w:vMerge w:val="continue"/>
            <w:noWrap w:val="0"/>
            <w:vAlign w:val="top"/>
          </w:tcPr>
          <w:p>
            <w:pPr>
              <w:widowControl/>
              <w:jc w:val="left"/>
              <w:rPr>
                <w:rFonts w:hint="eastAsia" w:ascii="仿宋_GB2312" w:eastAsia="仿宋_GB2312"/>
                <w:color w:val="000000"/>
                <w:sz w:val="28"/>
                <w:szCs w:val="28"/>
              </w:rPr>
            </w:pPr>
          </w:p>
        </w:tc>
        <w:tc>
          <w:tcPr>
            <w:tcW w:w="7102" w:type="dxa"/>
            <w:gridSpan w:val="5"/>
            <w:noWrap w:val="0"/>
            <w:vAlign w:val="bottom"/>
          </w:tcPr>
          <w:p>
            <w:pPr>
              <w:widowControl/>
              <w:jc w:val="right"/>
              <w:rPr>
                <w:rFonts w:hint="eastAsia" w:ascii="仿宋_GB2312" w:eastAsia="仿宋_GB2312"/>
                <w:color w:val="000000"/>
                <w:sz w:val="24"/>
              </w:rPr>
            </w:pPr>
          </w:p>
          <w:p>
            <w:pPr>
              <w:widowControl/>
              <w:jc w:val="right"/>
              <w:rPr>
                <w:rFonts w:hint="eastAsia" w:ascii="仿宋_GB2312" w:eastAsia="仿宋_GB2312"/>
                <w:color w:val="000000"/>
                <w:sz w:val="24"/>
              </w:rPr>
            </w:pPr>
          </w:p>
          <w:p>
            <w:pPr>
              <w:widowControl/>
              <w:tabs>
                <w:tab w:val="left" w:pos="2159"/>
              </w:tabs>
              <w:ind w:right="420"/>
              <w:rPr>
                <w:rFonts w:hint="eastAsia" w:ascii="仿宋_GB2312" w:eastAsia="仿宋_GB2312"/>
                <w:color w:val="000000"/>
                <w:sz w:val="24"/>
              </w:rPr>
            </w:pPr>
            <w:r>
              <w:rPr>
                <w:rFonts w:hint="eastAsia" w:ascii="仿宋_GB2312" w:eastAsia="仿宋_GB2312"/>
                <w:color w:val="000000"/>
                <w:sz w:val="24"/>
              </w:rPr>
              <w:t xml:space="preserve">         参评部门/人</w:t>
            </w:r>
            <w:r>
              <w:rPr>
                <w:rFonts w:hint="eastAsia" w:ascii="仿宋_GB2312" w:eastAsia="仿宋_GB2312"/>
                <w:color w:val="000000"/>
                <w:sz w:val="24"/>
                <w:u w:val="single"/>
              </w:rPr>
              <w:t xml:space="preserve">：           </w:t>
            </w:r>
            <w:r>
              <w:rPr>
                <w:rFonts w:hint="eastAsia" w:ascii="仿宋_GB2312" w:eastAsia="仿宋_GB2312"/>
                <w:color w:val="000000"/>
                <w:sz w:val="24"/>
              </w:rPr>
              <w:t>日期</w:t>
            </w:r>
            <w:r>
              <w:rPr>
                <w:rFonts w:hint="eastAsia" w:ascii="仿宋_GB2312" w:eastAsia="仿宋_GB2312"/>
                <w:color w:val="000000"/>
                <w:sz w:val="24"/>
                <w:u w:val="single"/>
              </w:rPr>
              <w:t xml:space="preserve">：            </w:t>
            </w:r>
          </w:p>
        </w:tc>
      </w:tr>
      <w:tr>
        <w:tblPrEx>
          <w:tblCellMar>
            <w:top w:w="0" w:type="dxa"/>
            <w:left w:w="108" w:type="dxa"/>
            <w:bottom w:w="0" w:type="dxa"/>
            <w:right w:w="108" w:type="dxa"/>
          </w:tblCellMar>
        </w:tblPrEx>
        <w:trPr>
          <w:trHeight w:val="1248" w:hRule="exact"/>
        </w:trPr>
        <w:tc>
          <w:tcPr>
            <w:tcW w:w="1420" w:type="dxa"/>
            <w:vMerge w:val="continue"/>
            <w:noWrap w:val="0"/>
            <w:vAlign w:val="top"/>
          </w:tcPr>
          <w:p>
            <w:pPr>
              <w:widowControl/>
              <w:jc w:val="left"/>
              <w:rPr>
                <w:rFonts w:hint="eastAsia" w:ascii="仿宋_GB2312" w:eastAsia="仿宋_GB2312"/>
                <w:color w:val="000000"/>
                <w:sz w:val="28"/>
                <w:szCs w:val="28"/>
              </w:rPr>
            </w:pPr>
          </w:p>
        </w:tc>
        <w:tc>
          <w:tcPr>
            <w:tcW w:w="7102" w:type="dxa"/>
            <w:gridSpan w:val="5"/>
            <w:noWrap w:val="0"/>
            <w:vAlign w:val="bottom"/>
          </w:tcPr>
          <w:p>
            <w:pPr>
              <w:widowControl/>
              <w:ind w:right="420" w:firstLine="2040" w:firstLineChars="850"/>
              <w:rPr>
                <w:rFonts w:hint="eastAsia" w:ascii="仿宋_GB2312" w:eastAsia="仿宋_GB2312"/>
                <w:color w:val="000000"/>
                <w:sz w:val="24"/>
              </w:rPr>
            </w:pPr>
            <w:r>
              <w:rPr>
                <w:rFonts w:hint="eastAsia" w:ascii="仿宋_GB2312" w:eastAsia="仿宋_GB2312"/>
                <w:color w:val="000000"/>
                <w:sz w:val="24"/>
              </w:rPr>
              <w:t>参评部门/人</w:t>
            </w:r>
            <w:r>
              <w:rPr>
                <w:rFonts w:hint="eastAsia" w:ascii="仿宋_GB2312" w:eastAsia="仿宋_GB2312"/>
                <w:color w:val="000000"/>
                <w:sz w:val="24"/>
                <w:u w:val="single"/>
              </w:rPr>
              <w:t xml:space="preserve">：           </w:t>
            </w:r>
            <w:r>
              <w:rPr>
                <w:rFonts w:hint="eastAsia" w:ascii="仿宋_GB2312" w:eastAsia="仿宋_GB2312"/>
                <w:color w:val="000000"/>
                <w:sz w:val="24"/>
              </w:rPr>
              <w:t>日期</w:t>
            </w:r>
            <w:r>
              <w:rPr>
                <w:rFonts w:hint="eastAsia" w:ascii="仿宋_GB2312" w:eastAsia="仿宋_GB2312"/>
                <w:color w:val="000000"/>
                <w:sz w:val="24"/>
                <w:u w:val="single"/>
              </w:rPr>
              <w:t xml:space="preserve">：            </w:t>
            </w:r>
          </w:p>
        </w:tc>
      </w:tr>
      <w:tr>
        <w:tblPrEx>
          <w:tblCellMar>
            <w:top w:w="0" w:type="dxa"/>
            <w:left w:w="108" w:type="dxa"/>
            <w:bottom w:w="0" w:type="dxa"/>
            <w:right w:w="108" w:type="dxa"/>
          </w:tblCellMar>
        </w:tblPrEx>
        <w:tc>
          <w:tcPr>
            <w:tcW w:w="1420" w:type="dxa"/>
            <w:noWrap w:val="0"/>
            <w:vAlign w:val="center"/>
          </w:tcPr>
          <w:p>
            <w:pPr>
              <w:widowControl/>
              <w:rPr>
                <w:rFonts w:hint="eastAsia" w:ascii="仿宋_GB2312" w:eastAsia="仿宋_GB2312"/>
                <w:color w:val="000000"/>
                <w:sz w:val="28"/>
                <w:szCs w:val="28"/>
              </w:rPr>
            </w:pPr>
            <w:r>
              <w:rPr>
                <w:rFonts w:hint="eastAsia" w:ascii="仿宋_GB2312" w:eastAsia="仿宋_GB2312"/>
                <w:color w:val="000000"/>
                <w:sz w:val="28"/>
                <w:szCs w:val="28"/>
              </w:rPr>
              <w:t>审核人 意见</w:t>
            </w:r>
          </w:p>
        </w:tc>
        <w:tc>
          <w:tcPr>
            <w:tcW w:w="7102" w:type="dxa"/>
            <w:gridSpan w:val="5"/>
            <w:noWrap w:val="0"/>
            <w:vAlign w:val="top"/>
          </w:tcPr>
          <w:p>
            <w:pPr>
              <w:widowControl/>
              <w:jc w:val="left"/>
              <w:rPr>
                <w:rFonts w:hint="eastAsia" w:ascii="仿宋_GB2312" w:eastAsia="仿宋_GB2312"/>
                <w:color w:val="000000"/>
                <w:sz w:val="28"/>
                <w:szCs w:val="28"/>
              </w:rPr>
            </w:pPr>
          </w:p>
          <w:p>
            <w:pPr>
              <w:widowControl/>
              <w:jc w:val="left"/>
              <w:rPr>
                <w:rFonts w:hint="eastAsia" w:ascii="仿宋_GB2312" w:eastAsia="仿宋_GB2312"/>
                <w:color w:val="000000"/>
                <w:sz w:val="28"/>
                <w:szCs w:val="28"/>
              </w:rPr>
            </w:pPr>
          </w:p>
        </w:tc>
      </w:tr>
      <w:tr>
        <w:tblPrEx>
          <w:tblCellMar>
            <w:top w:w="0" w:type="dxa"/>
            <w:left w:w="108" w:type="dxa"/>
            <w:bottom w:w="0" w:type="dxa"/>
            <w:right w:w="108" w:type="dxa"/>
          </w:tblCellMar>
        </w:tblPrEx>
        <w:tc>
          <w:tcPr>
            <w:tcW w:w="1420" w:type="dxa"/>
            <w:noWrap w:val="0"/>
            <w:vAlign w:val="center"/>
          </w:tcPr>
          <w:p>
            <w:pPr>
              <w:widowControl/>
              <w:rPr>
                <w:rFonts w:hint="eastAsia" w:ascii="仿宋_GB2312" w:eastAsia="仿宋_GB2312"/>
                <w:color w:val="000000"/>
                <w:sz w:val="28"/>
                <w:szCs w:val="28"/>
              </w:rPr>
            </w:pPr>
            <w:r>
              <w:rPr>
                <w:rFonts w:hint="eastAsia" w:ascii="仿宋_GB2312" w:eastAsia="仿宋_GB2312"/>
                <w:color w:val="000000"/>
                <w:sz w:val="28"/>
                <w:szCs w:val="28"/>
              </w:rPr>
              <w:t>审批人 意见</w:t>
            </w:r>
          </w:p>
        </w:tc>
        <w:tc>
          <w:tcPr>
            <w:tcW w:w="7102" w:type="dxa"/>
            <w:gridSpan w:val="5"/>
            <w:noWrap w:val="0"/>
            <w:vAlign w:val="top"/>
          </w:tcPr>
          <w:p>
            <w:pPr>
              <w:widowControl/>
              <w:jc w:val="left"/>
              <w:rPr>
                <w:rFonts w:hint="eastAsia" w:ascii="仿宋_GB2312" w:eastAsia="仿宋_GB2312"/>
                <w:color w:val="000000"/>
                <w:sz w:val="28"/>
                <w:szCs w:val="28"/>
              </w:rPr>
            </w:pPr>
          </w:p>
          <w:p>
            <w:pPr>
              <w:widowControl/>
              <w:jc w:val="left"/>
              <w:rPr>
                <w:rFonts w:hint="eastAsia" w:ascii="仿宋_GB2312" w:eastAsia="仿宋_GB2312"/>
                <w:color w:val="000000"/>
                <w:sz w:val="28"/>
                <w:szCs w:val="28"/>
              </w:rPr>
            </w:pPr>
          </w:p>
        </w:tc>
      </w:tr>
    </w:tbl>
    <w:p>
      <w:pPr>
        <w:jc w:val="center"/>
        <w:rPr>
          <w:rFonts w:hint="eastAsia" w:ascii="仿宋_GB2312" w:eastAsia="仿宋_GB2312"/>
          <w:b/>
          <w:color w:val="00000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4A4A72"/>
    <w:rsid w:val="24FF3C54"/>
    <w:rsid w:val="5D113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napToGrid w:val="0"/>
      <w:spacing w:line="360" w:lineRule="auto"/>
      <w:ind w:firstLine="2"/>
    </w:pPr>
    <w:rPr>
      <w:rFonts w:ascii="宋体" w:hAnsi="宋体"/>
      <w:sz w:val="24"/>
    </w:rPr>
  </w:style>
  <w:style w:type="paragraph" w:styleId="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2020-04-02T02:34:00Z</dcterms:created>
  <dc:creator>RYZEN</dc:creator>
  <cp:lastModifiedBy>远方的陨石</cp:lastModifiedBy>
  <dcterms:modified xsi:type="dcterms:W3CDTF">2022-02-08T03:56:15Z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CC073ABC0DB04028AA1D97B621C1889E</vt:lpwstr>
  </property>
</Properties>
</file>