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Ind w:w="0" w:type="dxa"/>
        <w:tblLook w:val="0000"/>
      </w:tblPr>
      <w:tblGrid>
        <w:gridCol w:w="4467"/>
        <w:gridCol w:w="1595"/>
        <w:gridCol w:w="1849"/>
        <w:gridCol w:w="1539"/>
      </w:tblGrid>
      <w:tr w:rsidR="00000000">
        <w:trPr>
          <w:trHeight w:val="390"/>
          <w:jc w:val="center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8"/>
                <w:szCs w:val="28"/>
                <w:lang/>
              </w:rPr>
              <w:t>利润表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湖南金色物业发展有限公司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期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单位：元</w:t>
            </w:r>
          </w:p>
        </w:tc>
      </w:tr>
      <w:tr w:rsidR="00000000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行次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本年累计金额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本月金额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一、营业收入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40,873,263.44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4,865,938.79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减：营业成本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35,909,751.75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4,351,453.88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税金及附加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246,550.85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22,530.27 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其中：消费税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营业税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城市维护建设税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资源税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土地增值税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城镇土地使用税、房产税、车船税、印花税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教育费附加、矿产资源补偿税、排污费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销售费用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其中：商品维修费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广告费和业务宣传费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管理费用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6,831,312.66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584,828.91 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其中：开办费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业务招待费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研究费用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财务费用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2,790.01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-471.74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其中：利息费用（收入以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“-”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号填列）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加：投资收益（损失以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“-”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号填列）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二、营业利润（亏损以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“-”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号填列）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-2,117,141.83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-92,402.53 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加：营业外收入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2,2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92,668.13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178,046.06 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其中：政府补助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2,292,668.13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178,046.06 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减：营业外支出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6,280.65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其中：坏账损失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无法收回的长期债券投资损失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无法收回的长期股权投资损失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自然灾害等不可抗力因素造成的损失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税收滞纳金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三、利润总额（亏损总额以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“-”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号填列）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169,245.65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85,643.53 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减：所得税费用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42,311.41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26E5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27,809.05 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四：净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利润（净亏损以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“-”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号填列）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145,172.19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57,834.48 </w:t>
            </w:r>
          </w:p>
        </w:tc>
      </w:tr>
    </w:tbl>
    <w:p w:rsidR="00000000" w:rsidRDefault="00926E54"/>
    <w:p w:rsidR="00000000" w:rsidRDefault="00926E54"/>
    <w:p w:rsidR="00000000" w:rsidRDefault="00926E54"/>
    <w:p w:rsidR="00000000" w:rsidRDefault="00926E54"/>
    <w:p w:rsidR="00000000" w:rsidRDefault="00926E54"/>
    <w:p w:rsidR="00000000" w:rsidRDefault="00926E54"/>
    <w:p w:rsidR="00000000" w:rsidRDefault="00926E54">
      <w:pPr>
        <w:sectPr w:rsidR="00000000">
          <w:pgSz w:w="11906" w:h="16838"/>
          <w:pgMar w:top="1701" w:right="1134" w:bottom="1701" w:left="1134" w:header="851" w:footer="992" w:gutter="0"/>
          <w:cols w:space="720"/>
          <w:docGrid w:type="lines" w:linePitch="312"/>
        </w:sectPr>
      </w:pPr>
    </w:p>
    <w:tbl>
      <w:tblPr>
        <w:tblW w:w="15540" w:type="dxa"/>
        <w:jc w:val="center"/>
        <w:tblInd w:w="0" w:type="dxa"/>
        <w:tblLook w:val="0000"/>
      </w:tblPr>
      <w:tblGrid>
        <w:gridCol w:w="2282"/>
        <w:gridCol w:w="877"/>
        <w:gridCol w:w="1740"/>
        <w:gridCol w:w="1740"/>
        <w:gridCol w:w="4545"/>
        <w:gridCol w:w="877"/>
        <w:gridCol w:w="1740"/>
        <w:gridCol w:w="1740"/>
      </w:tblGrid>
      <w:tr w:rsidR="00000000">
        <w:trPr>
          <w:trHeight w:val="390"/>
          <w:jc w:val="center"/>
        </w:trPr>
        <w:tc>
          <w:tcPr>
            <w:tcW w:w="155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资产负债表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湖南金色物业发展有限公司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2021-12-31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单位：元</w:t>
            </w:r>
          </w:p>
        </w:tc>
      </w:tr>
      <w:tr w:rsidR="00000000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资产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行次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期末数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年初数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负债和所有者（或股东）权益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行次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期末数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年初数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流动资产：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流动负债：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货币资金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737,867.82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369,116.60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短期借款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短期投资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应付票据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应收票据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应付账款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应收账款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2,623,543.01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1,160,075.73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预收账款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预付账款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232548.01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173,517.20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应付职工薪酬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应收股利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应交税费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44,476.53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57,230.54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应收利息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应付利息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其他应收款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1,681,054.94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2,591,794.14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应付利润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存货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94,800.00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232,800.00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其他应付款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1,036,378.21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47,233.68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其中：原材料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其他流动负债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在产品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138,00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流动负债合计：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1,080,854.74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104,464.22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库存商品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非流动负债：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周转材料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94,800.00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长期借款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其他流动资产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长期应付款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流动资产合计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5369813.78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4,527,303.67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递延收益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非流动资产：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其他非流动负债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长期债券投资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非流动负债合计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长期股权投资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负债合计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1,080,854.74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104,464.2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固定资产原价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1,454,473.71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1,366,473.71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减：累计折旧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753,163.59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753,163.59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固定资产账面价值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701,310.12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613,310.12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在建工程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工程物资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固定资产清理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生产性生物资产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所有者权益（或股东权益）：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无形资产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实收资本（或股本）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5,000,000.00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5,000,000.00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开发支出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资本公积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长期待摊费用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156,189.00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盈余公积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21,080.52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21,080.52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其他非流动资产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未分配利润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125,377.64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15,069.05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非流动资产合计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857,499.12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613,310.12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所有者权益（或股东权益）合计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5,146,458.16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5,036,149.57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资产总计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6227312.90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5,140,613.79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负债和所有者权益（或股东权益）总计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6,227,312.90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140,613.79</w:t>
            </w:r>
          </w:p>
        </w:tc>
      </w:tr>
    </w:tbl>
    <w:p w:rsidR="00000000" w:rsidRDefault="00926E54">
      <w:pPr>
        <w:sectPr w:rsidR="00000000">
          <w:pgSz w:w="16838" w:h="11906" w:orient="landscape"/>
          <w:pgMar w:top="1701" w:right="567" w:bottom="1701" w:left="567" w:header="851" w:footer="992" w:gutter="0"/>
          <w:cols w:space="720"/>
          <w:docGrid w:type="lines" w:linePitch="312"/>
        </w:sectPr>
      </w:pPr>
    </w:p>
    <w:tbl>
      <w:tblPr>
        <w:tblStyle w:val="a"/>
        <w:tblW w:w="10770" w:type="dxa"/>
        <w:jc w:val="center"/>
        <w:tblInd w:w="0" w:type="dxa"/>
        <w:tblLook w:val="0000"/>
      </w:tblPr>
      <w:tblGrid>
        <w:gridCol w:w="5954"/>
        <w:gridCol w:w="1576"/>
        <w:gridCol w:w="1595"/>
        <w:gridCol w:w="1645"/>
      </w:tblGrid>
      <w:tr w:rsidR="00000000">
        <w:trPr>
          <w:trHeight w:val="390"/>
          <w:jc w:val="center"/>
        </w:trPr>
        <w:tc>
          <w:tcPr>
            <w:tcW w:w="107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现金流量表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湖南金色物业发展有限公司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期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单位：元</w:t>
            </w:r>
          </w:p>
        </w:tc>
      </w:tr>
      <w:tr w:rsidR="00000000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行次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本月数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lang/>
              </w:rPr>
              <w:t>本年数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一、经营活动产生的现金流量：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销售产成品、商品、提供劳务收到的现金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6,517,914.41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39,409,796.16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收到其他与经营活动有关的现金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628,023.16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31,162,942.98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购买原材料、商品、接受劳务支付的现金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3,825,608.05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35,798,546.09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支付的职工薪酬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3,033,950.68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34,098,347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.91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支付的税费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46,279.27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支付其他与经营活动有关的现金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经营活动产生的现金流量净额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286,378.84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629,565.87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二、投资活动产生的现金流量：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收回短期投资、长期债券投资和长期股权投资收到的现金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取得投资收益收到的现金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处置固定资产、无形资产和其他非流动资产收回的现金净额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短期投资、长期债券投资和长期股权投资支付的现金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购建固定资产、无形资产和其他非流动资产支付的现金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244,189.00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投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资活动产生的现金流量净额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-244,189.00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三、筹资活动产生的现金流量：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取得借款收到的现金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吸收投资者投资收到的现金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偿还借款本金支付的现金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偿还借款利息支付的现金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分配利润支付的现金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16,625.65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筹资活动产生的现金流量净额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-16,625.65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四、现金净增加额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286,378.84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368,751.22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加：期初现金余额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451,488.98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369,116.60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五、期末现金余额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737,867.82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737,867.82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补　　充　　资　　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、将净利润调节为经营活动现金流量：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净利润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-12,411.97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126,934.24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加：计提的资产减值准备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固定资产折旧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无形资产摊销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长期待摊费用摊销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处置固定资产、无形资产和其他长期资产的损失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减：收益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固定资产报废损失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公允价值变动损失（收益以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－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号填列）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财务费用（减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：收入）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-914.24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-2,711.09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投资损失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减：收益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递延所得税资产减少（增加以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－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号填列）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递延所得税负债增加（减少以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－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号填列）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存货的减少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减：增加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404,180.94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138,000.00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经营性应收项目的减少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减：增加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1,588,457.21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-379,210.88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经营性应付项目的增加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减：减少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-1,693,847.34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743,842.51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914.24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2,711.09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经营活动产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生的现金流量净额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286,378.84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629,565.87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、不涉及现金收支的投资和筹资活动：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债务转为资本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一年内到期的可转换公司债券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融资租入固定资产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、现金及现金等价物净增加情况：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现金的期末余额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737,867.82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737,867.82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减：现金的期初余额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451,488.98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369,116.60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加：现金等价物的期末余额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减：现金等价物的期初余额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现金及现金等价物净增加额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86,378.84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926E54">
            <w:pPr>
              <w:widowControl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368,751.22</w:t>
            </w:r>
          </w:p>
        </w:tc>
      </w:tr>
    </w:tbl>
    <w:p w:rsidR="00926E54" w:rsidRDefault="00926E54"/>
    <w:sectPr w:rsidR="00926E54">
      <w:pgSz w:w="11906" w:h="16838"/>
      <w:pgMar w:top="1701" w:right="567" w:bottom="1701" w:left="56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2FE"/>
    <w:rsid w:val="005112FE"/>
    <w:rsid w:val="00926E54"/>
    <w:rsid w:val="4055530E"/>
    <w:rsid w:val="78D2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2022-02-08T03:32:00Z</dcterms:created>
  <dcterms:modified xsi:type="dcterms:W3CDTF">2022-02-08T03:32:00Z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B040F368325F47BDB11B8648C59C2E4E</vt:lpwstr>
  </property>
</Properties>
</file>